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C376FF">
      <w:pPr>
        <w:jc w:val="left"/>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val="en-US" w:eastAsia="zh-CN"/>
        </w:rPr>
        <w:t xml:space="preserve">附件5  </w:t>
      </w:r>
    </w:p>
    <w:p w14:paraId="470F965C">
      <w:pPr>
        <w:jc w:val="center"/>
        <w:rPr>
          <w:rFonts w:hint="eastAsia"/>
          <w:lang w:val="en-US" w:eastAsia="zh-CN"/>
        </w:rPr>
      </w:pPr>
      <w:r>
        <w:rPr>
          <w:rFonts w:hint="eastAsia" w:ascii="宋体" w:hAnsi="宋体" w:eastAsia="宋体" w:cs="宋体"/>
          <w:b/>
          <w:sz w:val="28"/>
          <w:szCs w:val="28"/>
          <w:lang w:val="en-US" w:eastAsia="zh-CN"/>
        </w:rPr>
        <w:t>综合评分明细表</w:t>
      </w:r>
      <w:r>
        <w:rPr>
          <w:rFonts w:hint="eastAsia" w:ascii="宋体" w:hAnsi="宋体" w:cs="宋体"/>
          <w:b/>
          <w:sz w:val="28"/>
          <w:szCs w:val="28"/>
          <w:lang w:val="en-US" w:eastAsia="zh-CN"/>
        </w:rPr>
        <w:t>（线上集采平台）</w:t>
      </w:r>
    </w:p>
    <w:tbl>
      <w:tblPr>
        <w:tblStyle w:val="8"/>
        <w:tblpPr w:leftFromText="180" w:rightFromText="180" w:vertAnchor="page" w:horzAnchor="page" w:tblpX="1973" w:tblpY="2938"/>
        <w:tblOverlap w:val="never"/>
        <w:tblW w:w="8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395"/>
        <w:gridCol w:w="4215"/>
        <w:gridCol w:w="1900"/>
      </w:tblGrid>
      <w:tr w14:paraId="45EBA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trPr>
        <w:tc>
          <w:tcPr>
            <w:tcW w:w="810" w:type="dxa"/>
            <w:tcBorders>
              <w:top w:val="single" w:color="auto" w:sz="4" w:space="0"/>
              <w:left w:val="single" w:color="auto" w:sz="4" w:space="0"/>
              <w:bottom w:val="single" w:color="auto" w:sz="4" w:space="0"/>
              <w:right w:val="single" w:color="auto" w:sz="4" w:space="0"/>
            </w:tcBorders>
            <w:vAlign w:val="center"/>
          </w:tcPr>
          <w:p w14:paraId="3CFF3923">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序号</w:t>
            </w:r>
          </w:p>
        </w:tc>
        <w:tc>
          <w:tcPr>
            <w:tcW w:w="1395" w:type="dxa"/>
            <w:tcBorders>
              <w:top w:val="single" w:color="auto" w:sz="4" w:space="0"/>
              <w:left w:val="single" w:color="auto" w:sz="4" w:space="0"/>
              <w:bottom w:val="single" w:color="auto" w:sz="4" w:space="0"/>
              <w:right w:val="single" w:color="auto" w:sz="4" w:space="0"/>
            </w:tcBorders>
            <w:vAlign w:val="center"/>
          </w:tcPr>
          <w:p w14:paraId="3A5BCF3F">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评分项目</w:t>
            </w:r>
          </w:p>
        </w:tc>
        <w:tc>
          <w:tcPr>
            <w:tcW w:w="4215" w:type="dxa"/>
            <w:tcBorders>
              <w:top w:val="single" w:color="auto" w:sz="4" w:space="0"/>
              <w:left w:val="single" w:color="auto" w:sz="4" w:space="0"/>
              <w:bottom w:val="single" w:color="auto" w:sz="4" w:space="0"/>
              <w:right w:val="single" w:color="auto" w:sz="4" w:space="0"/>
            </w:tcBorders>
            <w:vAlign w:val="center"/>
          </w:tcPr>
          <w:p w14:paraId="470F0152">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评分标准</w:t>
            </w:r>
          </w:p>
        </w:tc>
        <w:tc>
          <w:tcPr>
            <w:tcW w:w="1900" w:type="dxa"/>
            <w:tcBorders>
              <w:top w:val="single" w:color="auto" w:sz="4" w:space="0"/>
              <w:left w:val="single" w:color="auto" w:sz="4" w:space="0"/>
              <w:bottom w:val="single" w:color="auto" w:sz="4" w:space="0"/>
              <w:right w:val="single" w:color="auto" w:sz="4" w:space="0"/>
            </w:tcBorders>
            <w:vAlign w:val="center"/>
          </w:tcPr>
          <w:p w14:paraId="1783992F">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说明</w:t>
            </w:r>
          </w:p>
        </w:tc>
      </w:tr>
      <w:tr w14:paraId="1C246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810" w:type="dxa"/>
            <w:tcBorders>
              <w:top w:val="single" w:color="auto" w:sz="4" w:space="0"/>
              <w:left w:val="single" w:color="auto" w:sz="4" w:space="0"/>
              <w:bottom w:val="single" w:color="auto" w:sz="4" w:space="0"/>
              <w:right w:val="single" w:color="auto" w:sz="4" w:space="0"/>
            </w:tcBorders>
            <w:vAlign w:val="center"/>
          </w:tcPr>
          <w:p w14:paraId="4B9E3F74">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1395" w:type="dxa"/>
            <w:tcBorders>
              <w:top w:val="single" w:color="auto" w:sz="4" w:space="0"/>
              <w:left w:val="single" w:color="auto" w:sz="4" w:space="0"/>
              <w:bottom w:val="single" w:color="auto" w:sz="4" w:space="0"/>
              <w:right w:val="single" w:color="auto" w:sz="4" w:space="0"/>
            </w:tcBorders>
            <w:vAlign w:val="center"/>
          </w:tcPr>
          <w:p w14:paraId="21300623">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仿宋_GB2312" w:hAnsi="宋体" w:eastAsia="仿宋_GB2312" w:cs="宋体"/>
                <w:color w:val="000000"/>
                <w:kern w:val="0"/>
                <w:sz w:val="24"/>
                <w:szCs w:val="24"/>
              </w:rPr>
              <w:t>报价</w:t>
            </w: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0%</w:t>
            </w:r>
          </w:p>
        </w:tc>
        <w:tc>
          <w:tcPr>
            <w:tcW w:w="4215" w:type="dxa"/>
            <w:tcBorders>
              <w:top w:val="single" w:color="auto" w:sz="4" w:space="0"/>
              <w:left w:val="single" w:color="auto" w:sz="4" w:space="0"/>
              <w:bottom w:val="single" w:color="auto" w:sz="4" w:space="0"/>
              <w:right w:val="single" w:color="auto" w:sz="4" w:space="0"/>
            </w:tcBorders>
            <w:vAlign w:val="center"/>
          </w:tcPr>
          <w:p w14:paraId="725A92BE">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供应商对券面基准金额（劵面基准金额 ）进行上浮比例报价，满足磋商文件要求且投标报价最高的投标报价为评审基准价，其价格分为满分。其他供应商的价格分统一按照下列公式计算：</w:t>
            </w:r>
          </w:p>
          <w:p w14:paraId="32D1E3FA">
            <w:pPr>
              <w:rPr>
                <w:rFonts w:hint="eastAsia" w:ascii="宋体" w:hAnsi="宋体" w:eastAsia="宋体" w:cs="宋体"/>
                <w:sz w:val="24"/>
                <w:szCs w:val="24"/>
                <w:lang w:val="en-US" w:eastAsia="zh-CN"/>
              </w:rPr>
            </w:pPr>
            <w:r>
              <w:rPr>
                <w:rFonts w:hint="eastAsia" w:ascii="仿宋_GB2312" w:hAnsi="仿宋_GB2312" w:eastAsia="仿宋_GB2312" w:cs="仿宋_GB2312"/>
                <w:sz w:val="24"/>
                <w:szCs w:val="24"/>
                <w:lang w:val="en-US" w:eastAsia="zh-CN"/>
              </w:rPr>
              <w:t>投标报价得分=(评标基准价/投标报价）×100×20%。</w:t>
            </w:r>
          </w:p>
        </w:tc>
        <w:tc>
          <w:tcPr>
            <w:tcW w:w="1900" w:type="dxa"/>
            <w:tcBorders>
              <w:top w:val="single" w:color="auto" w:sz="4" w:space="0"/>
              <w:left w:val="single" w:color="auto" w:sz="4" w:space="0"/>
              <w:bottom w:val="single" w:color="auto" w:sz="4" w:space="0"/>
              <w:right w:val="single" w:color="auto" w:sz="4" w:space="0"/>
            </w:tcBorders>
            <w:vAlign w:val="center"/>
          </w:tcPr>
          <w:p w14:paraId="724ACA84">
            <w:pPr>
              <w:rPr>
                <w:rFonts w:hint="eastAsia" w:ascii="宋体" w:hAnsi="宋体" w:eastAsia="宋体" w:cs="宋体"/>
                <w:color w:val="000000" w:themeColor="text1"/>
                <w:sz w:val="24"/>
                <w:szCs w:val="24"/>
                <w:lang w:val="en-US" w:eastAsia="zh-CN"/>
                <w14:textFill>
                  <w14:solidFill>
                    <w14:schemeClr w14:val="tx1"/>
                  </w14:solidFill>
                </w14:textFill>
              </w:rPr>
            </w:pPr>
          </w:p>
        </w:tc>
      </w:tr>
      <w:tr w14:paraId="0829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810" w:type="dxa"/>
            <w:vMerge w:val="restart"/>
            <w:tcBorders>
              <w:top w:val="single" w:color="auto" w:sz="4" w:space="0"/>
              <w:left w:val="single" w:color="auto" w:sz="4" w:space="0"/>
              <w:right w:val="single" w:color="auto" w:sz="4" w:space="0"/>
            </w:tcBorders>
            <w:vAlign w:val="center"/>
          </w:tcPr>
          <w:p w14:paraId="44D8B858">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1395" w:type="dxa"/>
            <w:vMerge w:val="restart"/>
            <w:tcBorders>
              <w:top w:val="single" w:color="auto" w:sz="4" w:space="0"/>
              <w:left w:val="single" w:color="auto" w:sz="4" w:space="0"/>
              <w:right w:val="single" w:color="auto" w:sz="4" w:space="0"/>
            </w:tcBorders>
            <w:vAlign w:val="center"/>
          </w:tcPr>
          <w:p w14:paraId="7A1DC832">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宋体"/>
                <w:color w:val="000000"/>
                <w:kern w:val="0"/>
                <w:sz w:val="24"/>
                <w:szCs w:val="24"/>
                <w:lang w:val="en-US" w:eastAsia="zh-CN"/>
              </w:rPr>
              <w:t>服务便利性35%</w:t>
            </w:r>
          </w:p>
        </w:tc>
        <w:tc>
          <w:tcPr>
            <w:tcW w:w="4215" w:type="dxa"/>
            <w:tcBorders>
              <w:top w:val="single" w:color="auto" w:sz="4" w:space="0"/>
              <w:left w:val="single" w:color="auto" w:sz="4" w:space="0"/>
              <w:bottom w:val="single" w:color="auto" w:sz="4" w:space="0"/>
              <w:right w:val="single" w:color="auto" w:sz="4" w:space="0"/>
            </w:tcBorders>
            <w:vAlign w:val="center"/>
          </w:tcPr>
          <w:p w14:paraId="7F4B0470">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各投标公司需自带至少3类样品进行现场试吃，现场评审小组成员根据样品的新鲜度、单品价格、口感、种类等进行打分。评价优得25-20分，良得19-15分，一般得14-10分。（25分）</w:t>
            </w:r>
          </w:p>
        </w:tc>
        <w:tc>
          <w:tcPr>
            <w:tcW w:w="1900" w:type="dxa"/>
            <w:tcBorders>
              <w:top w:val="single" w:color="auto" w:sz="4" w:space="0"/>
              <w:left w:val="single" w:color="auto" w:sz="4" w:space="0"/>
              <w:right w:val="single" w:color="auto" w:sz="4" w:space="0"/>
            </w:tcBorders>
            <w:vAlign w:val="center"/>
          </w:tcPr>
          <w:p w14:paraId="15A4508D">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现场展示</w:t>
            </w:r>
          </w:p>
        </w:tc>
      </w:tr>
      <w:tr w14:paraId="7540C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trPr>
        <w:tc>
          <w:tcPr>
            <w:tcW w:w="810" w:type="dxa"/>
            <w:vMerge w:val="continue"/>
            <w:tcBorders>
              <w:left w:val="single" w:color="auto" w:sz="4" w:space="0"/>
              <w:right w:val="single" w:color="auto" w:sz="4" w:space="0"/>
            </w:tcBorders>
            <w:vAlign w:val="center"/>
          </w:tcPr>
          <w:p w14:paraId="59EAF835">
            <w:pPr>
              <w:keepNext w:val="0"/>
              <w:keepLines w:val="0"/>
              <w:pageBreakBefore w:val="0"/>
              <w:widowControl/>
              <w:kinsoku/>
              <w:wordWrap/>
              <w:overflowPunct/>
              <w:topLinePunct w:val="0"/>
              <w:autoSpaceDE/>
              <w:autoSpaceDN/>
              <w:bidi w:val="0"/>
              <w:adjustRightInd/>
              <w:snapToGrid/>
              <w:spacing w:line="340" w:lineRule="exact"/>
              <w:jc w:val="left"/>
              <w:textAlignment w:val="auto"/>
            </w:pPr>
          </w:p>
        </w:tc>
        <w:tc>
          <w:tcPr>
            <w:tcW w:w="1395" w:type="dxa"/>
            <w:vMerge w:val="continue"/>
            <w:tcBorders>
              <w:left w:val="single" w:color="auto" w:sz="4" w:space="0"/>
              <w:right w:val="single" w:color="auto" w:sz="4" w:space="0"/>
            </w:tcBorders>
            <w:vAlign w:val="center"/>
          </w:tcPr>
          <w:p w14:paraId="66A5D01A">
            <w:pPr>
              <w:keepNext w:val="0"/>
              <w:keepLines w:val="0"/>
              <w:pageBreakBefore w:val="0"/>
              <w:widowControl/>
              <w:kinsoku/>
              <w:wordWrap/>
              <w:overflowPunct/>
              <w:topLinePunct w:val="0"/>
              <w:autoSpaceDE/>
              <w:autoSpaceDN/>
              <w:bidi w:val="0"/>
              <w:adjustRightInd/>
              <w:snapToGrid/>
              <w:spacing w:line="340" w:lineRule="exact"/>
              <w:jc w:val="left"/>
              <w:textAlignment w:val="auto"/>
            </w:pPr>
          </w:p>
        </w:tc>
        <w:tc>
          <w:tcPr>
            <w:tcW w:w="4215" w:type="dxa"/>
            <w:tcBorders>
              <w:top w:val="single" w:color="auto" w:sz="4" w:space="0"/>
              <w:left w:val="single" w:color="auto" w:sz="4" w:space="0"/>
              <w:bottom w:val="single" w:color="auto" w:sz="4" w:space="0"/>
              <w:right w:val="single" w:color="auto" w:sz="4" w:space="0"/>
            </w:tcBorders>
            <w:vAlign w:val="center"/>
          </w:tcPr>
          <w:p w14:paraId="09EA38C6">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default"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根据可使用品牌数量进行评分，可使用品牌有5家得10分，每增加2个品牌加1分，最多加5分，此项满分15分；</w:t>
            </w:r>
          </w:p>
        </w:tc>
        <w:tc>
          <w:tcPr>
            <w:tcW w:w="1900" w:type="dxa"/>
            <w:tcBorders>
              <w:left w:val="single" w:color="auto" w:sz="4" w:space="0"/>
              <w:right w:val="single" w:color="auto" w:sz="4" w:space="0"/>
            </w:tcBorders>
            <w:vAlign w:val="center"/>
          </w:tcPr>
          <w:p w14:paraId="7136254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提供证明或承诺书</w:t>
            </w:r>
          </w:p>
        </w:tc>
      </w:tr>
      <w:tr w14:paraId="24DC6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restart"/>
            <w:tcBorders>
              <w:top w:val="single" w:color="auto" w:sz="4" w:space="0"/>
              <w:left w:val="single" w:color="auto" w:sz="4" w:space="0"/>
              <w:right w:val="single" w:color="auto" w:sz="4" w:space="0"/>
            </w:tcBorders>
            <w:vAlign w:val="center"/>
          </w:tcPr>
          <w:p w14:paraId="380BFC73">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ascii="宋体" w:hAnsi="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w:t>
            </w:r>
          </w:p>
        </w:tc>
        <w:tc>
          <w:tcPr>
            <w:tcW w:w="1395" w:type="dxa"/>
            <w:vMerge w:val="restart"/>
            <w:tcBorders>
              <w:top w:val="single" w:color="auto" w:sz="4" w:space="0"/>
              <w:left w:val="single" w:color="auto" w:sz="4" w:space="0"/>
              <w:right w:val="single" w:color="auto" w:sz="4" w:space="0"/>
            </w:tcBorders>
            <w:vAlign w:val="center"/>
          </w:tcPr>
          <w:p w14:paraId="7A76420D">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宋体"/>
                <w:color w:val="000000"/>
                <w:kern w:val="0"/>
                <w:sz w:val="24"/>
                <w:szCs w:val="24"/>
                <w:lang w:val="en-US" w:eastAsia="zh-CN"/>
              </w:rPr>
              <w:t>实施方案25%</w:t>
            </w:r>
          </w:p>
        </w:tc>
        <w:tc>
          <w:tcPr>
            <w:tcW w:w="4215" w:type="dxa"/>
            <w:tcBorders>
              <w:top w:val="single" w:color="auto" w:sz="4" w:space="0"/>
              <w:left w:val="single" w:color="auto" w:sz="4" w:space="0"/>
              <w:bottom w:val="single" w:color="auto" w:sz="4" w:space="0"/>
              <w:right w:val="single" w:color="auto" w:sz="4" w:space="0"/>
            </w:tcBorders>
            <w:vAlign w:val="center"/>
          </w:tcPr>
          <w:p w14:paraId="366472F6">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宋体"/>
                <w:color w:val="000000"/>
                <w:kern w:val="0"/>
                <w:sz w:val="24"/>
                <w:szCs w:val="24"/>
              </w:rPr>
              <w:t>提供项目实施方案：实施方案包括但不限于项目的实施组织机构，人员安排具体方案，分工责任，供货配送方案等，可保证保鲜、快速、及时</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rPr>
              <w:t>做出详细进度计划</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rPr>
              <w:t>根据投标人提出的方案综合评审，综合较好得</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5</w:t>
            </w:r>
            <w:r>
              <w:rPr>
                <w:rFonts w:hint="eastAsia" w:ascii="仿宋_GB2312" w:hAnsi="宋体" w:eastAsia="仿宋_GB2312" w:cs="宋体"/>
                <w:color w:val="000000"/>
                <w:kern w:val="0"/>
                <w:sz w:val="24"/>
                <w:szCs w:val="24"/>
              </w:rPr>
              <w:t>分；综合次之得</w:t>
            </w:r>
            <w:r>
              <w:rPr>
                <w:rFonts w:hint="eastAsia" w:ascii="仿宋_GB2312" w:hAnsi="宋体" w:eastAsia="仿宋_GB2312" w:cs="宋体"/>
                <w:color w:val="000000"/>
                <w:kern w:val="0"/>
                <w:sz w:val="24"/>
                <w:szCs w:val="24"/>
                <w:lang w:val="en-US" w:eastAsia="zh-CN"/>
              </w:rPr>
              <w:t>4</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分；综合较差得</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分及以下。</w:t>
            </w:r>
            <w:r>
              <w:rPr>
                <w:rFonts w:hint="eastAsia" w:ascii="仿宋_GB2312" w:hAnsi="宋体" w:eastAsia="仿宋_GB2312" w:cs="宋体"/>
                <w:color w:val="000000"/>
                <w:kern w:val="0"/>
                <w:sz w:val="24"/>
                <w:szCs w:val="24"/>
                <w:highlight w:val="none"/>
                <w:lang w:val="en-US" w:eastAsia="zh-CN"/>
              </w:rPr>
              <w:t>此项满分7分；</w:t>
            </w:r>
          </w:p>
        </w:tc>
        <w:tc>
          <w:tcPr>
            <w:tcW w:w="1900" w:type="dxa"/>
            <w:vMerge w:val="restart"/>
            <w:tcBorders>
              <w:top w:val="single" w:color="auto" w:sz="4" w:space="0"/>
              <w:left w:val="single" w:color="auto" w:sz="4" w:space="0"/>
              <w:right w:val="single" w:color="auto" w:sz="4" w:space="0"/>
            </w:tcBorders>
            <w:vAlign w:val="center"/>
          </w:tcPr>
          <w:p w14:paraId="008AD8C1">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7E05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continue"/>
            <w:tcBorders>
              <w:left w:val="single" w:color="auto" w:sz="4" w:space="0"/>
              <w:right w:val="single" w:color="auto" w:sz="4" w:space="0"/>
            </w:tcBorders>
            <w:vAlign w:val="center"/>
          </w:tcPr>
          <w:p w14:paraId="1EFAC292">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cs="宋体"/>
                <w:color w:val="000000" w:themeColor="text1"/>
                <w:sz w:val="21"/>
                <w:szCs w:val="21"/>
                <w:lang w:val="en-US" w:eastAsia="zh-CN"/>
                <w14:textFill>
                  <w14:solidFill>
                    <w14:schemeClr w14:val="tx1"/>
                  </w14:solidFill>
                </w14:textFill>
              </w:rPr>
            </w:pPr>
          </w:p>
        </w:tc>
        <w:tc>
          <w:tcPr>
            <w:tcW w:w="1395" w:type="dxa"/>
            <w:vMerge w:val="continue"/>
            <w:tcBorders>
              <w:left w:val="single" w:color="auto" w:sz="4" w:space="0"/>
              <w:right w:val="single" w:color="auto" w:sz="4" w:space="0"/>
            </w:tcBorders>
            <w:vAlign w:val="center"/>
          </w:tcPr>
          <w:p w14:paraId="268598DA">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仿宋_GB2312" w:hAnsi="宋体" w:eastAsia="仿宋_GB2312" w:cs="宋体"/>
                <w:color w:val="000000"/>
                <w:kern w:val="0"/>
                <w:sz w:val="24"/>
                <w:szCs w:val="24"/>
                <w:lang w:val="en-US" w:eastAsia="zh-CN"/>
              </w:rPr>
            </w:pPr>
          </w:p>
        </w:tc>
        <w:tc>
          <w:tcPr>
            <w:tcW w:w="4215" w:type="dxa"/>
            <w:tcBorders>
              <w:top w:val="single" w:color="auto" w:sz="4" w:space="0"/>
              <w:left w:val="single" w:color="auto" w:sz="4" w:space="0"/>
              <w:bottom w:val="single" w:color="auto" w:sz="4" w:space="0"/>
              <w:right w:val="single" w:color="auto" w:sz="4" w:space="0"/>
            </w:tcBorders>
            <w:vAlign w:val="center"/>
          </w:tcPr>
          <w:p w14:paraId="6BC5AAC5">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生日卡</w:t>
            </w:r>
            <w:r>
              <w:rPr>
                <w:rFonts w:hint="eastAsia" w:ascii="仿宋_GB2312" w:hAnsi="宋体" w:eastAsia="仿宋_GB2312" w:cs="宋体"/>
                <w:color w:val="000000"/>
                <w:kern w:val="0"/>
                <w:sz w:val="24"/>
                <w:szCs w:val="24"/>
              </w:rPr>
              <w:t>使用期限</w:t>
            </w:r>
            <w:r>
              <w:rPr>
                <w:rFonts w:hint="eastAsia" w:ascii="仿宋_GB2312" w:hAnsi="宋体" w:eastAsia="仿宋_GB2312" w:cs="宋体"/>
                <w:color w:val="000000"/>
                <w:kern w:val="0"/>
                <w:sz w:val="24"/>
                <w:szCs w:val="24"/>
                <w:lang w:val="en-US" w:eastAsia="zh-CN"/>
              </w:rPr>
              <w:t>3</w:t>
            </w:r>
            <w:r>
              <w:rPr>
                <w:rFonts w:hint="eastAsia" w:ascii="仿宋_GB2312" w:hAnsi="宋体" w:eastAsia="仿宋_GB2312" w:cs="宋体"/>
                <w:color w:val="000000"/>
                <w:kern w:val="0"/>
                <w:sz w:val="24"/>
                <w:szCs w:val="24"/>
              </w:rPr>
              <w:t>分。使用期限为三年</w:t>
            </w:r>
            <w:r>
              <w:rPr>
                <w:rFonts w:hint="eastAsia" w:ascii="仿宋_GB2312" w:hAnsi="宋体" w:eastAsia="仿宋_GB2312" w:cs="宋体"/>
                <w:color w:val="000000"/>
                <w:kern w:val="0"/>
                <w:sz w:val="24"/>
                <w:szCs w:val="24"/>
                <w:lang w:val="en-US" w:eastAsia="zh-CN"/>
              </w:rPr>
              <w:t>及以上</w:t>
            </w:r>
            <w:r>
              <w:rPr>
                <w:rFonts w:hint="eastAsia" w:ascii="仿宋_GB2312" w:hAnsi="宋体" w:eastAsia="仿宋_GB2312" w:cs="宋体"/>
                <w:color w:val="000000"/>
                <w:kern w:val="0"/>
                <w:sz w:val="24"/>
                <w:szCs w:val="24"/>
              </w:rPr>
              <w:t>者得</w:t>
            </w:r>
            <w:r>
              <w:rPr>
                <w:rFonts w:hint="eastAsia" w:ascii="仿宋_GB2312" w:hAnsi="宋体" w:eastAsia="仿宋_GB2312" w:cs="宋体"/>
                <w:color w:val="000000"/>
                <w:kern w:val="0"/>
                <w:sz w:val="24"/>
                <w:szCs w:val="24"/>
                <w:lang w:val="en-US" w:eastAsia="zh-CN"/>
              </w:rPr>
              <w:t>3</w:t>
            </w:r>
            <w:r>
              <w:rPr>
                <w:rFonts w:hint="eastAsia" w:ascii="仿宋_GB2312" w:hAnsi="宋体" w:eastAsia="仿宋_GB2312" w:cs="宋体"/>
                <w:color w:val="000000"/>
                <w:kern w:val="0"/>
                <w:sz w:val="24"/>
                <w:szCs w:val="24"/>
              </w:rPr>
              <w:t>分，一年到两年得2分，一年以内得</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分。</w:t>
            </w:r>
          </w:p>
        </w:tc>
        <w:tc>
          <w:tcPr>
            <w:tcW w:w="1900" w:type="dxa"/>
            <w:vMerge w:val="continue"/>
            <w:tcBorders>
              <w:left w:val="single" w:color="auto" w:sz="4" w:space="0"/>
              <w:right w:val="single" w:color="auto" w:sz="4" w:space="0"/>
            </w:tcBorders>
            <w:vAlign w:val="center"/>
          </w:tcPr>
          <w:p w14:paraId="2B3AD020">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3EAF9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continue"/>
            <w:tcBorders>
              <w:left w:val="single" w:color="auto" w:sz="4" w:space="0"/>
              <w:right w:val="single" w:color="auto" w:sz="4" w:space="0"/>
            </w:tcBorders>
            <w:vAlign w:val="center"/>
          </w:tcPr>
          <w:p w14:paraId="621D0B37">
            <w:pPr>
              <w:keepNext w:val="0"/>
              <w:keepLines w:val="0"/>
              <w:pageBreakBefore w:val="0"/>
              <w:widowControl/>
              <w:kinsoku/>
              <w:wordWrap/>
              <w:overflowPunct/>
              <w:topLinePunct w:val="0"/>
              <w:autoSpaceDE/>
              <w:autoSpaceDN/>
              <w:bidi w:val="0"/>
              <w:adjustRightInd/>
              <w:snapToGrid/>
              <w:spacing w:line="340" w:lineRule="exact"/>
              <w:jc w:val="left"/>
              <w:textAlignment w:val="auto"/>
            </w:pPr>
          </w:p>
        </w:tc>
        <w:tc>
          <w:tcPr>
            <w:tcW w:w="1395" w:type="dxa"/>
            <w:vMerge w:val="continue"/>
            <w:tcBorders>
              <w:left w:val="single" w:color="auto" w:sz="4" w:space="0"/>
              <w:right w:val="single" w:color="auto" w:sz="4" w:space="0"/>
            </w:tcBorders>
            <w:vAlign w:val="center"/>
          </w:tcPr>
          <w:p w14:paraId="3F8378A5">
            <w:pPr>
              <w:keepNext w:val="0"/>
              <w:keepLines w:val="0"/>
              <w:pageBreakBefore w:val="0"/>
              <w:widowControl/>
              <w:kinsoku/>
              <w:wordWrap/>
              <w:overflowPunct/>
              <w:topLinePunct w:val="0"/>
              <w:autoSpaceDE/>
              <w:autoSpaceDN/>
              <w:bidi w:val="0"/>
              <w:adjustRightInd/>
              <w:snapToGrid/>
              <w:spacing w:line="340" w:lineRule="exact"/>
              <w:jc w:val="left"/>
              <w:textAlignment w:val="auto"/>
            </w:pPr>
          </w:p>
        </w:tc>
        <w:tc>
          <w:tcPr>
            <w:tcW w:w="4215" w:type="dxa"/>
            <w:tcBorders>
              <w:top w:val="single" w:color="auto" w:sz="4" w:space="0"/>
              <w:left w:val="single" w:color="auto" w:sz="4" w:space="0"/>
              <w:bottom w:val="single" w:color="auto" w:sz="4" w:space="0"/>
              <w:right w:val="single" w:color="auto" w:sz="4" w:space="0"/>
            </w:tcBorders>
            <w:vAlign w:val="center"/>
          </w:tcPr>
          <w:p w14:paraId="7C6C094A">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提供售后服务方案：</w:t>
            </w:r>
            <w:r>
              <w:rPr>
                <w:rFonts w:hint="eastAsia" w:ascii="仿宋_GB2312" w:hAnsi="宋体" w:eastAsia="仿宋_GB2312" w:cs="宋体"/>
                <w:color w:val="000000"/>
                <w:kern w:val="0"/>
                <w:sz w:val="24"/>
                <w:szCs w:val="24"/>
                <w:lang w:eastAsia="zh-CN"/>
              </w:rPr>
              <w:t>含质量、货源保证、质保期、产品验收标准。</w:t>
            </w:r>
            <w:r>
              <w:rPr>
                <w:rFonts w:hint="eastAsia" w:ascii="仿宋_GB2312" w:hAnsi="宋体" w:eastAsia="仿宋_GB2312" w:cs="宋体"/>
                <w:color w:val="000000"/>
                <w:kern w:val="0"/>
                <w:sz w:val="24"/>
                <w:szCs w:val="24"/>
                <w:lang w:val="en-US" w:eastAsia="zh-CN"/>
              </w:rPr>
              <w:t>可实现线上发放、电子签收、提供签收数据等服务。</w:t>
            </w:r>
            <w:r>
              <w:rPr>
                <w:rFonts w:hint="eastAsia" w:ascii="仿宋_GB2312" w:hAnsi="宋体" w:eastAsia="仿宋_GB2312" w:cs="宋体"/>
                <w:color w:val="000000"/>
                <w:kern w:val="0"/>
                <w:sz w:val="24"/>
                <w:szCs w:val="24"/>
              </w:rPr>
              <w:t>根据投标人提出的方案综合评审，综合较好得</w:t>
            </w:r>
            <w:r>
              <w:rPr>
                <w:rFonts w:hint="eastAsia" w:ascii="仿宋_GB2312" w:hAnsi="宋体" w:eastAsia="仿宋_GB2312" w:cs="宋体"/>
                <w:color w:val="000000"/>
                <w:kern w:val="0"/>
                <w:sz w:val="24"/>
                <w:szCs w:val="24"/>
                <w:lang w:val="en-US" w:eastAsia="zh-CN"/>
              </w:rPr>
              <w:t>10</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8</w:t>
            </w:r>
            <w:r>
              <w:rPr>
                <w:rFonts w:hint="eastAsia" w:ascii="仿宋_GB2312" w:hAnsi="宋体" w:eastAsia="仿宋_GB2312" w:cs="宋体"/>
                <w:color w:val="000000"/>
                <w:kern w:val="0"/>
                <w:sz w:val="24"/>
                <w:szCs w:val="24"/>
              </w:rPr>
              <w:t>分；综合次之得</w:t>
            </w:r>
            <w:r>
              <w:rPr>
                <w:rFonts w:hint="eastAsia" w:ascii="仿宋_GB2312" w:hAnsi="宋体" w:eastAsia="仿宋_GB2312" w:cs="宋体"/>
                <w:color w:val="000000"/>
                <w:kern w:val="0"/>
                <w:sz w:val="24"/>
                <w:szCs w:val="24"/>
                <w:lang w:val="en-US" w:eastAsia="zh-CN"/>
              </w:rPr>
              <w:t>5</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分；综合较差得</w:t>
            </w:r>
            <w:r>
              <w:rPr>
                <w:rFonts w:hint="eastAsia" w:ascii="仿宋_GB2312" w:hAnsi="宋体" w:eastAsia="仿宋_GB2312" w:cs="宋体"/>
                <w:color w:val="000000"/>
                <w:kern w:val="0"/>
                <w:sz w:val="24"/>
                <w:szCs w:val="24"/>
                <w:lang w:val="en-US" w:eastAsia="zh-CN"/>
              </w:rPr>
              <w:t>4</w:t>
            </w:r>
            <w:r>
              <w:rPr>
                <w:rFonts w:hint="eastAsia" w:ascii="仿宋_GB2312" w:hAnsi="宋体" w:eastAsia="仿宋_GB2312" w:cs="宋体"/>
                <w:color w:val="000000"/>
                <w:kern w:val="0"/>
                <w:sz w:val="24"/>
                <w:szCs w:val="24"/>
              </w:rPr>
              <w:t>分及以下。</w:t>
            </w:r>
            <w:r>
              <w:rPr>
                <w:rFonts w:hint="eastAsia" w:ascii="仿宋_GB2312" w:hAnsi="宋体" w:eastAsia="仿宋_GB2312" w:cs="宋体"/>
                <w:color w:val="000000"/>
                <w:kern w:val="0"/>
                <w:sz w:val="24"/>
                <w:szCs w:val="24"/>
                <w:highlight w:val="none"/>
                <w:lang w:val="en-US" w:eastAsia="zh-CN"/>
              </w:rPr>
              <w:t>此项满分10分；</w:t>
            </w:r>
          </w:p>
        </w:tc>
        <w:tc>
          <w:tcPr>
            <w:tcW w:w="1900" w:type="dxa"/>
            <w:vMerge w:val="continue"/>
            <w:tcBorders>
              <w:left w:val="single" w:color="auto" w:sz="4" w:space="0"/>
              <w:right w:val="single" w:color="auto" w:sz="4" w:space="0"/>
            </w:tcBorders>
            <w:vAlign w:val="center"/>
          </w:tcPr>
          <w:p w14:paraId="667CD572">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r>
      <w:tr w14:paraId="71CFD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continue"/>
            <w:tcBorders>
              <w:left w:val="single" w:color="auto" w:sz="4" w:space="0"/>
              <w:bottom w:val="single" w:color="auto" w:sz="4" w:space="0"/>
              <w:right w:val="single" w:color="auto" w:sz="4" w:space="0"/>
            </w:tcBorders>
            <w:vAlign w:val="center"/>
          </w:tcPr>
          <w:p w14:paraId="4B0A196A">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c>
          <w:tcPr>
            <w:tcW w:w="1395" w:type="dxa"/>
            <w:vMerge w:val="continue"/>
            <w:tcBorders>
              <w:left w:val="single" w:color="auto" w:sz="4" w:space="0"/>
              <w:bottom w:val="single" w:color="auto" w:sz="4" w:space="0"/>
              <w:right w:val="single" w:color="auto" w:sz="4" w:space="0"/>
            </w:tcBorders>
            <w:vAlign w:val="center"/>
          </w:tcPr>
          <w:p w14:paraId="4EF06975">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c>
          <w:tcPr>
            <w:tcW w:w="4215" w:type="dxa"/>
            <w:tcBorders>
              <w:top w:val="single" w:color="auto" w:sz="4" w:space="0"/>
              <w:left w:val="single" w:color="auto" w:sz="4" w:space="0"/>
              <w:bottom w:val="single" w:color="auto" w:sz="4" w:space="0"/>
              <w:right w:val="single" w:color="auto" w:sz="4" w:space="0"/>
            </w:tcBorders>
            <w:vAlign w:val="center"/>
          </w:tcPr>
          <w:p w14:paraId="48978F3A">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提供应急服务方案：如产品出现质量问题，须在1个工作日内响应，明确售后联系方式，保证售后服务的质量和态度</w:t>
            </w:r>
            <w:r>
              <w:rPr>
                <w:rFonts w:hint="eastAsia" w:ascii="仿宋_GB2312" w:hAnsi="宋体" w:eastAsia="仿宋_GB2312" w:cs="宋体"/>
                <w:color w:val="000000"/>
                <w:kern w:val="0"/>
                <w:sz w:val="24"/>
                <w:szCs w:val="24"/>
              </w:rPr>
              <w:t>，优得</w:t>
            </w:r>
            <w:r>
              <w:rPr>
                <w:rFonts w:hint="eastAsia" w:ascii="仿宋_GB2312" w:hAnsi="宋体" w:eastAsia="仿宋_GB2312" w:cs="宋体"/>
                <w:color w:val="000000"/>
                <w:kern w:val="0"/>
                <w:sz w:val="24"/>
                <w:szCs w:val="24"/>
                <w:highlight w:val="none"/>
                <w:lang w:val="en-US" w:eastAsia="zh-CN"/>
              </w:rPr>
              <w:t>5-4</w:t>
            </w:r>
            <w:r>
              <w:rPr>
                <w:rFonts w:hint="eastAsia" w:ascii="仿宋_GB2312" w:hAnsi="宋体" w:eastAsia="仿宋_GB2312" w:cs="宋体"/>
                <w:color w:val="000000"/>
                <w:kern w:val="0"/>
                <w:sz w:val="24"/>
                <w:szCs w:val="24"/>
              </w:rPr>
              <w:t>分，良得</w:t>
            </w:r>
            <w:r>
              <w:rPr>
                <w:rFonts w:hint="eastAsia" w:ascii="仿宋_GB2312" w:hAnsi="宋体" w:eastAsia="仿宋_GB2312" w:cs="宋体"/>
                <w:color w:val="000000"/>
                <w:kern w:val="0"/>
                <w:sz w:val="24"/>
                <w:szCs w:val="24"/>
                <w:lang w:val="en-US" w:eastAsia="zh-CN"/>
              </w:rPr>
              <w:t>2-3</w:t>
            </w:r>
            <w:r>
              <w:rPr>
                <w:rFonts w:hint="eastAsia" w:ascii="仿宋_GB2312" w:hAnsi="宋体" w:eastAsia="仿宋_GB2312" w:cs="宋体"/>
                <w:color w:val="000000"/>
                <w:kern w:val="0"/>
                <w:sz w:val="24"/>
                <w:szCs w:val="24"/>
              </w:rPr>
              <w:t>分，</w:t>
            </w:r>
            <w:r>
              <w:rPr>
                <w:rFonts w:hint="eastAsia" w:ascii="仿宋_GB2312" w:hAnsi="宋体" w:eastAsia="仿宋_GB2312" w:cs="宋体"/>
                <w:color w:val="000000"/>
                <w:kern w:val="0"/>
                <w:sz w:val="24"/>
                <w:szCs w:val="24"/>
                <w:lang w:val="en-US" w:eastAsia="zh-CN"/>
              </w:rPr>
              <w:t>一般</w:t>
            </w:r>
            <w:r>
              <w:rPr>
                <w:rFonts w:hint="eastAsia" w:ascii="仿宋_GB2312" w:hAnsi="宋体" w:eastAsia="仿宋_GB2312" w:cs="宋体"/>
                <w:color w:val="000000"/>
                <w:kern w:val="0"/>
                <w:sz w:val="24"/>
                <w:szCs w:val="24"/>
                <w:lang w:eastAsia="zh-CN"/>
              </w:rPr>
              <w:t>得</w:t>
            </w:r>
            <w:r>
              <w:rPr>
                <w:rFonts w:hint="eastAsia" w:ascii="仿宋_GB2312" w:hAnsi="宋体" w:eastAsia="仿宋_GB2312" w:cs="宋体"/>
                <w:color w:val="000000"/>
                <w:kern w:val="0"/>
                <w:sz w:val="24"/>
                <w:szCs w:val="24"/>
                <w:lang w:val="en-US" w:eastAsia="zh-CN"/>
              </w:rPr>
              <w:t>1分以下，</w:t>
            </w:r>
            <w:r>
              <w:rPr>
                <w:rFonts w:hint="eastAsia" w:ascii="仿宋_GB2312" w:hAnsi="宋体" w:eastAsia="仿宋_GB2312" w:cs="宋体"/>
                <w:color w:val="000000"/>
                <w:kern w:val="0"/>
                <w:sz w:val="24"/>
                <w:szCs w:val="24"/>
              </w:rPr>
              <w:t>未按要求提供的不得分。</w:t>
            </w:r>
            <w:r>
              <w:rPr>
                <w:rFonts w:hint="eastAsia" w:ascii="仿宋_GB2312" w:hAnsi="宋体" w:eastAsia="仿宋_GB2312" w:cs="宋体"/>
                <w:color w:val="000000"/>
                <w:kern w:val="0"/>
                <w:sz w:val="24"/>
                <w:szCs w:val="24"/>
                <w:highlight w:val="none"/>
                <w:lang w:val="en-US" w:eastAsia="zh-CN"/>
              </w:rPr>
              <w:t>此项满分5分；</w:t>
            </w:r>
          </w:p>
        </w:tc>
        <w:tc>
          <w:tcPr>
            <w:tcW w:w="1900" w:type="dxa"/>
            <w:vMerge w:val="continue"/>
            <w:tcBorders>
              <w:left w:val="single" w:color="auto" w:sz="4" w:space="0"/>
              <w:bottom w:val="single" w:color="auto" w:sz="4" w:space="0"/>
              <w:right w:val="single" w:color="auto" w:sz="4" w:space="0"/>
            </w:tcBorders>
            <w:vAlign w:val="center"/>
          </w:tcPr>
          <w:p w14:paraId="0D0AAC42">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r>
      <w:tr w14:paraId="323C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10" w:type="dxa"/>
            <w:tcBorders>
              <w:top w:val="single" w:color="auto" w:sz="4" w:space="0"/>
              <w:left w:val="single" w:color="auto" w:sz="4" w:space="0"/>
              <w:bottom w:val="single" w:color="auto" w:sz="4" w:space="0"/>
              <w:right w:val="single" w:color="auto" w:sz="4" w:space="0"/>
            </w:tcBorders>
            <w:vAlign w:val="center"/>
          </w:tcPr>
          <w:p w14:paraId="441255B7">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ascii="宋体" w:hAnsi="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4</w:t>
            </w:r>
          </w:p>
        </w:tc>
        <w:tc>
          <w:tcPr>
            <w:tcW w:w="1395" w:type="dxa"/>
            <w:tcBorders>
              <w:top w:val="single" w:color="auto" w:sz="4" w:space="0"/>
              <w:left w:val="single" w:color="auto" w:sz="4" w:space="0"/>
              <w:bottom w:val="single" w:color="auto" w:sz="4" w:space="0"/>
              <w:right w:val="single" w:color="auto" w:sz="4" w:space="0"/>
            </w:tcBorders>
            <w:vAlign w:val="center"/>
          </w:tcPr>
          <w:p w14:paraId="1073CB61">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sz w:val="24"/>
                <w:szCs w:val="24"/>
              </w:rPr>
            </w:pPr>
            <w:r>
              <w:rPr>
                <w:rFonts w:hint="eastAsia" w:ascii="仿宋_GB2312" w:hAnsi="宋体" w:eastAsia="仿宋_GB2312" w:cs="宋体"/>
                <w:color w:val="000000"/>
                <w:kern w:val="0"/>
                <w:sz w:val="24"/>
                <w:szCs w:val="24"/>
              </w:rPr>
              <w:t>机构业绩</w:t>
            </w:r>
            <w:r>
              <w:rPr>
                <w:rFonts w:hint="eastAsia" w:ascii="仿宋_GB2312" w:hAnsi="宋体" w:eastAsia="仿宋_GB2312" w:cs="宋体"/>
                <w:color w:val="000000"/>
                <w:kern w:val="0"/>
                <w:sz w:val="24"/>
                <w:szCs w:val="24"/>
                <w:lang w:val="en-US" w:eastAsia="zh-CN"/>
              </w:rPr>
              <w:t>20</w:t>
            </w:r>
            <w:r>
              <w:rPr>
                <w:rFonts w:hint="eastAsia" w:ascii="仿宋_GB2312" w:hAnsi="宋体" w:eastAsia="仿宋_GB2312" w:cs="宋体"/>
                <w:color w:val="000000"/>
                <w:kern w:val="0"/>
                <w:sz w:val="24"/>
                <w:szCs w:val="24"/>
              </w:rPr>
              <w:t>%</w:t>
            </w:r>
          </w:p>
        </w:tc>
        <w:tc>
          <w:tcPr>
            <w:tcW w:w="4215" w:type="dxa"/>
            <w:tcBorders>
              <w:top w:val="single" w:color="auto" w:sz="4" w:space="0"/>
              <w:left w:val="single" w:color="auto" w:sz="4" w:space="0"/>
              <w:bottom w:val="single" w:color="auto" w:sz="4" w:space="0"/>
              <w:right w:val="single" w:color="auto" w:sz="4" w:space="0"/>
            </w:tcBorders>
            <w:vAlign w:val="center"/>
          </w:tcPr>
          <w:p w14:paraId="4F2EDE73">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sz w:val="24"/>
                <w:szCs w:val="24"/>
              </w:rPr>
            </w:pPr>
            <w:r>
              <w:rPr>
                <w:rFonts w:hint="eastAsia" w:ascii="仿宋_GB2312" w:hAnsi="宋体" w:eastAsia="仿宋_GB2312" w:cs="宋体"/>
                <w:color w:val="000000"/>
                <w:kern w:val="0"/>
                <w:sz w:val="24"/>
                <w:szCs w:val="24"/>
              </w:rPr>
              <w:t>根据供应商20</w:t>
            </w:r>
            <w:r>
              <w:rPr>
                <w:rFonts w:hint="eastAsia" w:ascii="仿宋_GB2312" w:hAnsi="宋体" w:eastAsia="仿宋_GB2312" w:cs="宋体"/>
                <w:color w:val="000000"/>
                <w:kern w:val="0"/>
                <w:sz w:val="24"/>
                <w:szCs w:val="24"/>
                <w:lang w:val="en-US" w:eastAsia="zh-CN"/>
              </w:rPr>
              <w:t>22</w:t>
            </w:r>
            <w:r>
              <w:rPr>
                <w:rFonts w:hint="eastAsia" w:ascii="仿宋_GB2312" w:hAnsi="宋体" w:eastAsia="仿宋_GB2312" w:cs="宋体"/>
                <w:color w:val="000000"/>
                <w:kern w:val="0"/>
                <w:sz w:val="24"/>
                <w:szCs w:val="24"/>
              </w:rPr>
              <w:t>年至今</w:t>
            </w:r>
            <w:r>
              <w:rPr>
                <w:rFonts w:hint="eastAsia" w:ascii="仿宋_GB2312" w:hAnsi="宋体" w:eastAsia="仿宋_GB2312" w:cs="宋体"/>
                <w:color w:val="000000"/>
                <w:kern w:val="0"/>
                <w:sz w:val="24"/>
                <w:szCs w:val="24"/>
                <w:lang w:val="en-US" w:eastAsia="zh-CN"/>
              </w:rPr>
              <w:t>类似</w:t>
            </w:r>
            <w:r>
              <w:rPr>
                <w:rFonts w:hint="eastAsia" w:ascii="仿宋_GB2312" w:hAnsi="宋体" w:eastAsia="仿宋_GB2312" w:cs="宋体"/>
                <w:color w:val="000000"/>
                <w:kern w:val="0"/>
                <w:sz w:val="24"/>
                <w:szCs w:val="24"/>
              </w:rPr>
              <w:t>项目业绩，</w:t>
            </w:r>
            <w:r>
              <w:rPr>
                <w:rFonts w:hint="eastAsia" w:ascii="仿宋_GB2312" w:hAnsi="宋体" w:eastAsia="仿宋_GB2312" w:cs="宋体"/>
                <w:color w:val="000000"/>
                <w:kern w:val="0"/>
                <w:sz w:val="24"/>
                <w:szCs w:val="24"/>
                <w:lang w:eastAsia="zh-CN"/>
              </w:rPr>
              <w:t>服务</w:t>
            </w:r>
            <w:r>
              <w:rPr>
                <w:rFonts w:hint="eastAsia" w:ascii="仿宋_GB2312" w:hAnsi="宋体" w:eastAsia="仿宋_GB2312" w:cs="宋体"/>
                <w:color w:val="000000"/>
                <w:kern w:val="0"/>
                <w:sz w:val="24"/>
                <w:szCs w:val="24"/>
                <w:lang w:val="en-US" w:eastAsia="zh-CN"/>
              </w:rPr>
              <w:t>商</w:t>
            </w:r>
            <w:r>
              <w:rPr>
                <w:rFonts w:hint="eastAsia" w:ascii="仿宋_GB2312" w:hAnsi="宋体" w:eastAsia="仿宋_GB2312" w:cs="宋体"/>
                <w:color w:val="000000"/>
                <w:kern w:val="0"/>
                <w:sz w:val="24"/>
                <w:szCs w:val="24"/>
                <w:lang w:eastAsia="zh-CN"/>
              </w:rPr>
              <w:t>每提供一个业绩证明的得</w:t>
            </w:r>
            <w:r>
              <w:rPr>
                <w:rFonts w:hint="eastAsia" w:ascii="仿宋_GB2312" w:hAnsi="宋体" w:eastAsia="仿宋_GB2312" w:cs="宋体"/>
                <w:color w:val="000000"/>
                <w:kern w:val="0"/>
                <w:sz w:val="24"/>
                <w:szCs w:val="24"/>
                <w:lang w:val="en-US" w:eastAsia="zh-CN"/>
              </w:rPr>
              <w:t>2分，最高得20分。</w:t>
            </w:r>
            <w:r>
              <w:rPr>
                <w:rFonts w:hint="eastAsia" w:ascii="仿宋_GB2312" w:hAnsi="宋体" w:eastAsia="仿宋_GB2312" w:cs="宋体"/>
                <w:color w:val="000000"/>
                <w:kern w:val="0"/>
                <w:sz w:val="24"/>
                <w:szCs w:val="24"/>
              </w:rPr>
              <w:t>备注：评审时需提供业绩合同</w:t>
            </w:r>
            <w:r>
              <w:rPr>
                <w:rFonts w:hint="eastAsia" w:ascii="仿宋_GB2312" w:hAnsi="宋体" w:eastAsia="仿宋_GB2312" w:cs="宋体"/>
                <w:color w:val="000000"/>
                <w:kern w:val="0"/>
                <w:sz w:val="24"/>
                <w:szCs w:val="24"/>
                <w:lang w:val="en-US" w:eastAsia="zh-CN"/>
              </w:rPr>
              <w:t>复印</w:t>
            </w:r>
            <w:r>
              <w:rPr>
                <w:rFonts w:hint="eastAsia" w:ascii="仿宋_GB2312" w:hAnsi="宋体" w:eastAsia="仿宋_GB2312" w:cs="宋体"/>
                <w:color w:val="000000"/>
                <w:kern w:val="0"/>
                <w:sz w:val="24"/>
                <w:szCs w:val="24"/>
              </w:rPr>
              <w:t>件、签约单位联系人、联系电话备查。（未按要求提供的不得分）。</w:t>
            </w:r>
          </w:p>
        </w:tc>
        <w:tc>
          <w:tcPr>
            <w:tcW w:w="1900" w:type="dxa"/>
            <w:tcBorders>
              <w:top w:val="single" w:color="auto" w:sz="4" w:space="0"/>
              <w:left w:val="single" w:color="auto" w:sz="4" w:space="0"/>
              <w:bottom w:val="single" w:color="auto" w:sz="4" w:space="0"/>
              <w:right w:val="single" w:color="auto" w:sz="4" w:space="0"/>
            </w:tcBorders>
            <w:vAlign w:val="center"/>
          </w:tcPr>
          <w:p w14:paraId="05F6E888">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tc>
      </w:tr>
    </w:tbl>
    <w:p w14:paraId="3567F988">
      <w:pPr>
        <w:rPr>
          <w:rFonts w:hint="default" w:eastAsia="宋体"/>
          <w:lang w:val="en-US" w:eastAsia="zh-CN"/>
        </w:rPr>
      </w:pPr>
    </w:p>
    <w:p w14:paraId="56E85380">
      <w:pPr>
        <w:pStyle w:val="6"/>
        <w:rPr>
          <w:rFonts w:hint="default"/>
          <w:lang w:val="en-US" w:eastAsia="zh-CN"/>
        </w:rPr>
      </w:pPr>
    </w:p>
    <w:p w14:paraId="275C9F95">
      <w:pPr>
        <w:pStyle w:val="6"/>
        <w:rPr>
          <w:rFonts w:hint="default"/>
          <w:lang w:val="en-US" w:eastAsia="zh-CN"/>
        </w:rPr>
      </w:pPr>
    </w:p>
    <w:p w14:paraId="1B6B61CE">
      <w:pPr>
        <w:rPr>
          <w:rFonts w:hint="default"/>
          <w:lang w:val="en-US" w:eastAsia="zh-CN"/>
        </w:rPr>
      </w:pPr>
    </w:p>
    <w:p w14:paraId="593A39EC">
      <w:pPr>
        <w:pStyle w:val="2"/>
        <w:rPr>
          <w:rFonts w:hint="default"/>
          <w:lang w:val="en-US" w:eastAsia="zh-CN"/>
        </w:rPr>
      </w:pPr>
    </w:p>
    <w:p w14:paraId="4DDDE67E">
      <w:pPr>
        <w:pStyle w:val="2"/>
        <w:rPr>
          <w:rFonts w:hint="default"/>
          <w:lang w:val="en-US" w:eastAsia="zh-CN"/>
        </w:rPr>
      </w:pPr>
    </w:p>
    <w:p w14:paraId="44C1D0AD">
      <w:pPr>
        <w:pStyle w:val="2"/>
        <w:rPr>
          <w:rFonts w:hint="default"/>
          <w:lang w:val="en-US" w:eastAsia="zh-CN"/>
        </w:rPr>
      </w:pPr>
    </w:p>
    <w:p w14:paraId="4F12DC71">
      <w:pPr>
        <w:pStyle w:val="2"/>
        <w:rPr>
          <w:rFonts w:hint="default"/>
          <w:lang w:val="en-US" w:eastAsia="zh-CN"/>
        </w:rPr>
      </w:pPr>
    </w:p>
    <w:p w14:paraId="00FB3345">
      <w:pPr>
        <w:pStyle w:val="2"/>
        <w:rPr>
          <w:rFonts w:hint="default"/>
          <w:lang w:val="en-US" w:eastAsia="zh-CN"/>
        </w:rPr>
      </w:pPr>
    </w:p>
    <w:p w14:paraId="312F121E">
      <w:pPr>
        <w:pStyle w:val="2"/>
        <w:rPr>
          <w:rFonts w:hint="default"/>
          <w:lang w:val="en-US" w:eastAsia="zh-CN"/>
        </w:rPr>
      </w:pPr>
    </w:p>
    <w:p w14:paraId="5960D6C7">
      <w:pPr>
        <w:pStyle w:val="2"/>
        <w:rPr>
          <w:rFonts w:hint="default"/>
          <w:lang w:val="en-US" w:eastAsia="zh-CN"/>
        </w:rPr>
      </w:pPr>
    </w:p>
    <w:p w14:paraId="354EB785">
      <w:pPr>
        <w:pStyle w:val="2"/>
        <w:rPr>
          <w:rFonts w:hint="default"/>
          <w:lang w:val="en-US" w:eastAsia="zh-CN"/>
        </w:rPr>
      </w:pPr>
    </w:p>
    <w:p w14:paraId="49CEA056">
      <w:pPr>
        <w:pStyle w:val="2"/>
        <w:rPr>
          <w:rFonts w:hint="default"/>
          <w:lang w:val="en-US" w:eastAsia="zh-CN"/>
        </w:rPr>
      </w:pPr>
    </w:p>
    <w:p w14:paraId="75760711">
      <w:pPr>
        <w:pStyle w:val="2"/>
        <w:rPr>
          <w:rFonts w:hint="default"/>
          <w:lang w:val="en-US" w:eastAsia="zh-CN"/>
        </w:rPr>
      </w:pPr>
    </w:p>
    <w:p w14:paraId="2F446DC6">
      <w:pPr>
        <w:pStyle w:val="2"/>
        <w:rPr>
          <w:rFonts w:hint="default"/>
          <w:lang w:val="en-US" w:eastAsia="zh-CN"/>
        </w:rPr>
      </w:pPr>
    </w:p>
    <w:p w14:paraId="248820A6">
      <w:pPr>
        <w:pStyle w:val="2"/>
        <w:rPr>
          <w:rFonts w:hint="default"/>
          <w:lang w:val="en-US" w:eastAsia="zh-CN"/>
        </w:rPr>
      </w:pPr>
    </w:p>
    <w:p w14:paraId="6BE9DC4F">
      <w:pPr>
        <w:pStyle w:val="2"/>
        <w:rPr>
          <w:rFonts w:hint="default"/>
          <w:lang w:val="en-US" w:eastAsia="zh-CN"/>
        </w:rPr>
      </w:pPr>
    </w:p>
    <w:p w14:paraId="56C18DDF">
      <w:pPr>
        <w:pStyle w:val="2"/>
        <w:rPr>
          <w:rFonts w:hint="default"/>
          <w:lang w:val="en-US" w:eastAsia="zh-CN"/>
        </w:rPr>
      </w:pPr>
    </w:p>
    <w:p w14:paraId="2CDFEE91">
      <w:pPr>
        <w:pStyle w:val="2"/>
        <w:rPr>
          <w:rFonts w:hint="default"/>
          <w:lang w:val="en-US" w:eastAsia="zh-CN"/>
        </w:rPr>
      </w:pPr>
    </w:p>
    <w:p w14:paraId="4196BBD6">
      <w:pPr>
        <w:pStyle w:val="2"/>
        <w:rPr>
          <w:rFonts w:hint="default"/>
          <w:lang w:val="en-US" w:eastAsia="zh-CN"/>
        </w:rPr>
      </w:pPr>
    </w:p>
    <w:p w14:paraId="03DF2B7C">
      <w:pPr>
        <w:pStyle w:val="2"/>
        <w:rPr>
          <w:rFonts w:hint="default"/>
          <w:lang w:val="en-US" w:eastAsia="zh-CN"/>
        </w:rPr>
      </w:pPr>
    </w:p>
    <w:p w14:paraId="03ADCDC1">
      <w:pPr>
        <w:jc w:val="center"/>
        <w:rPr>
          <w:rFonts w:hint="eastAsia" w:ascii="宋体" w:hAnsi="宋体" w:eastAsia="宋体" w:cs="宋体"/>
          <w:b/>
          <w:sz w:val="28"/>
          <w:szCs w:val="28"/>
          <w:lang w:val="en-US" w:eastAsia="zh-CN"/>
        </w:rPr>
      </w:pPr>
    </w:p>
    <w:p w14:paraId="62264A82">
      <w:pPr>
        <w:jc w:val="center"/>
        <w:rPr>
          <w:rFonts w:hint="eastAsia" w:ascii="宋体" w:hAnsi="宋体" w:eastAsia="宋体" w:cs="宋体"/>
          <w:b/>
          <w:sz w:val="28"/>
          <w:szCs w:val="28"/>
          <w:lang w:val="en-US" w:eastAsia="zh-CN"/>
        </w:rPr>
      </w:pPr>
    </w:p>
    <w:p w14:paraId="73DE827B">
      <w:pPr>
        <w:jc w:val="center"/>
        <w:rPr>
          <w:rFonts w:hint="eastAsia"/>
          <w:lang w:val="en-US" w:eastAsia="zh-CN"/>
        </w:rPr>
      </w:pPr>
      <w:bookmarkStart w:id="0" w:name="_GoBack"/>
      <w:bookmarkEnd w:id="0"/>
      <w:r>
        <w:rPr>
          <w:rFonts w:hint="eastAsia" w:ascii="宋体" w:hAnsi="宋体" w:eastAsia="宋体" w:cs="宋体"/>
          <w:b/>
          <w:sz w:val="28"/>
          <w:szCs w:val="28"/>
          <w:lang w:val="en-US" w:eastAsia="zh-CN"/>
        </w:rPr>
        <w:t>综合评分明细表</w:t>
      </w:r>
      <w:r>
        <w:rPr>
          <w:rFonts w:hint="eastAsia" w:ascii="宋体" w:hAnsi="宋体" w:cs="宋体"/>
          <w:b/>
          <w:sz w:val="28"/>
          <w:szCs w:val="28"/>
          <w:lang w:val="en-US" w:eastAsia="zh-CN"/>
        </w:rPr>
        <w:t>（独立品牌店）</w:t>
      </w:r>
    </w:p>
    <w:p w14:paraId="15BED063">
      <w:pPr>
        <w:pStyle w:val="2"/>
        <w:rPr>
          <w:rFonts w:hint="default"/>
          <w:lang w:val="en-US" w:eastAsia="zh-CN"/>
        </w:rPr>
      </w:pPr>
    </w:p>
    <w:tbl>
      <w:tblPr>
        <w:tblStyle w:val="8"/>
        <w:tblpPr w:leftFromText="180" w:rightFromText="180" w:vertAnchor="page" w:horzAnchor="page" w:tblpX="1973" w:tblpY="2938"/>
        <w:tblOverlap w:val="never"/>
        <w:tblW w:w="83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395"/>
        <w:gridCol w:w="4215"/>
        <w:gridCol w:w="1900"/>
      </w:tblGrid>
      <w:tr w14:paraId="64D6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810" w:type="dxa"/>
            <w:tcBorders>
              <w:top w:val="single" w:color="auto" w:sz="4" w:space="0"/>
              <w:left w:val="single" w:color="auto" w:sz="4" w:space="0"/>
              <w:bottom w:val="single" w:color="auto" w:sz="4" w:space="0"/>
              <w:right w:val="single" w:color="auto" w:sz="4" w:space="0"/>
            </w:tcBorders>
            <w:vAlign w:val="center"/>
          </w:tcPr>
          <w:p w14:paraId="531EA213">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序号</w:t>
            </w:r>
          </w:p>
        </w:tc>
        <w:tc>
          <w:tcPr>
            <w:tcW w:w="1395" w:type="dxa"/>
            <w:tcBorders>
              <w:top w:val="single" w:color="auto" w:sz="4" w:space="0"/>
              <w:left w:val="single" w:color="auto" w:sz="4" w:space="0"/>
              <w:bottom w:val="single" w:color="auto" w:sz="4" w:space="0"/>
              <w:right w:val="single" w:color="auto" w:sz="4" w:space="0"/>
            </w:tcBorders>
            <w:vAlign w:val="center"/>
          </w:tcPr>
          <w:p w14:paraId="608B136B">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评分项目</w:t>
            </w:r>
          </w:p>
        </w:tc>
        <w:tc>
          <w:tcPr>
            <w:tcW w:w="4215" w:type="dxa"/>
            <w:tcBorders>
              <w:top w:val="single" w:color="auto" w:sz="4" w:space="0"/>
              <w:left w:val="single" w:color="auto" w:sz="4" w:space="0"/>
              <w:bottom w:val="single" w:color="auto" w:sz="4" w:space="0"/>
              <w:right w:val="single" w:color="auto" w:sz="4" w:space="0"/>
            </w:tcBorders>
            <w:vAlign w:val="center"/>
          </w:tcPr>
          <w:p w14:paraId="11C27604">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评分标准</w:t>
            </w:r>
          </w:p>
        </w:tc>
        <w:tc>
          <w:tcPr>
            <w:tcW w:w="1900" w:type="dxa"/>
            <w:tcBorders>
              <w:top w:val="single" w:color="auto" w:sz="4" w:space="0"/>
              <w:left w:val="single" w:color="auto" w:sz="4" w:space="0"/>
              <w:bottom w:val="single" w:color="auto" w:sz="4" w:space="0"/>
              <w:right w:val="single" w:color="auto" w:sz="4" w:space="0"/>
            </w:tcBorders>
            <w:vAlign w:val="center"/>
          </w:tcPr>
          <w:p w14:paraId="27099156">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黑体" w:hAnsi="黑体" w:eastAsia="黑体" w:cs="黑体"/>
                <w:b w:val="0"/>
                <w:bCs/>
                <w:color w:val="000000" w:themeColor="text1"/>
                <w:sz w:val="24"/>
                <w:szCs w:val="24"/>
                <w14:textFill>
                  <w14:solidFill>
                    <w14:schemeClr w14:val="tx1"/>
                  </w14:solidFill>
                </w14:textFill>
              </w:rPr>
            </w:pPr>
            <w:r>
              <w:rPr>
                <w:rFonts w:hint="eastAsia" w:ascii="黑体" w:hAnsi="黑体" w:eastAsia="黑体" w:cs="黑体"/>
                <w:b w:val="0"/>
                <w:bCs/>
                <w:color w:val="000000" w:themeColor="text1"/>
                <w:sz w:val="24"/>
                <w:szCs w:val="24"/>
                <w14:textFill>
                  <w14:solidFill>
                    <w14:schemeClr w14:val="tx1"/>
                  </w14:solidFill>
                </w14:textFill>
              </w:rPr>
              <w:t>说明</w:t>
            </w:r>
          </w:p>
        </w:tc>
      </w:tr>
      <w:tr w14:paraId="49EC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8" w:hRule="atLeast"/>
        </w:trPr>
        <w:tc>
          <w:tcPr>
            <w:tcW w:w="810" w:type="dxa"/>
            <w:tcBorders>
              <w:top w:val="single" w:color="auto" w:sz="4" w:space="0"/>
              <w:left w:val="single" w:color="auto" w:sz="4" w:space="0"/>
              <w:bottom w:val="single" w:color="auto" w:sz="4" w:space="0"/>
              <w:right w:val="single" w:color="auto" w:sz="4" w:space="0"/>
            </w:tcBorders>
            <w:vAlign w:val="center"/>
          </w:tcPr>
          <w:p w14:paraId="2AE5F741">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w:t>
            </w:r>
          </w:p>
        </w:tc>
        <w:tc>
          <w:tcPr>
            <w:tcW w:w="1395" w:type="dxa"/>
            <w:tcBorders>
              <w:top w:val="single" w:color="auto" w:sz="4" w:space="0"/>
              <w:left w:val="single" w:color="auto" w:sz="4" w:space="0"/>
              <w:bottom w:val="single" w:color="auto" w:sz="4" w:space="0"/>
              <w:right w:val="single" w:color="auto" w:sz="4" w:space="0"/>
            </w:tcBorders>
            <w:vAlign w:val="center"/>
          </w:tcPr>
          <w:p w14:paraId="27B62E8F">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仿宋_GB2312" w:hAnsi="宋体" w:eastAsia="仿宋_GB2312" w:cs="宋体"/>
                <w:color w:val="000000"/>
                <w:kern w:val="0"/>
                <w:sz w:val="24"/>
                <w:szCs w:val="24"/>
              </w:rPr>
              <w:t>报价</w:t>
            </w: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0%</w:t>
            </w:r>
          </w:p>
        </w:tc>
        <w:tc>
          <w:tcPr>
            <w:tcW w:w="4215" w:type="dxa"/>
            <w:tcBorders>
              <w:top w:val="single" w:color="auto" w:sz="4" w:space="0"/>
              <w:left w:val="single" w:color="auto" w:sz="4" w:space="0"/>
              <w:bottom w:val="single" w:color="auto" w:sz="4" w:space="0"/>
              <w:right w:val="single" w:color="auto" w:sz="4" w:space="0"/>
            </w:tcBorders>
            <w:vAlign w:val="center"/>
          </w:tcPr>
          <w:p w14:paraId="0421CF69">
            <w:pPr>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供应商对券面基准金额（劵面基准金额 ）进行上浮比例报价，满足磋商文件要求且投标报价最高的投标报价为评审基准价，其价格分为满分。其他供应商的价格分统一按照下列公式计算：</w:t>
            </w:r>
          </w:p>
          <w:p w14:paraId="607FA95F">
            <w:pPr>
              <w:rPr>
                <w:rFonts w:hint="eastAsia" w:ascii="宋体" w:hAnsi="宋体" w:eastAsia="宋体" w:cs="宋体"/>
                <w:sz w:val="24"/>
                <w:szCs w:val="24"/>
                <w:lang w:val="en-US" w:eastAsia="zh-CN"/>
              </w:rPr>
            </w:pPr>
            <w:r>
              <w:rPr>
                <w:rFonts w:hint="eastAsia" w:ascii="仿宋_GB2312" w:hAnsi="仿宋_GB2312" w:eastAsia="仿宋_GB2312" w:cs="仿宋_GB2312"/>
                <w:sz w:val="24"/>
                <w:szCs w:val="24"/>
                <w:lang w:val="en-US" w:eastAsia="zh-CN"/>
              </w:rPr>
              <w:t>投标报价得分=(评标基准价/投标报价）×100×20%。</w:t>
            </w:r>
          </w:p>
        </w:tc>
        <w:tc>
          <w:tcPr>
            <w:tcW w:w="1900" w:type="dxa"/>
            <w:tcBorders>
              <w:top w:val="single" w:color="auto" w:sz="4" w:space="0"/>
              <w:left w:val="single" w:color="auto" w:sz="4" w:space="0"/>
              <w:bottom w:val="single" w:color="auto" w:sz="4" w:space="0"/>
              <w:right w:val="single" w:color="auto" w:sz="4" w:space="0"/>
            </w:tcBorders>
            <w:vAlign w:val="center"/>
          </w:tcPr>
          <w:p w14:paraId="08893D93">
            <w:pPr>
              <w:rPr>
                <w:rFonts w:hint="eastAsia" w:ascii="宋体" w:hAnsi="宋体" w:eastAsia="宋体" w:cs="宋体"/>
                <w:color w:val="000000" w:themeColor="text1"/>
                <w:sz w:val="24"/>
                <w:szCs w:val="24"/>
                <w:lang w:val="en-US" w:eastAsia="zh-CN"/>
                <w14:textFill>
                  <w14:solidFill>
                    <w14:schemeClr w14:val="tx1"/>
                  </w14:solidFill>
                </w14:textFill>
              </w:rPr>
            </w:pPr>
          </w:p>
        </w:tc>
      </w:tr>
      <w:tr w14:paraId="4727F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810" w:type="dxa"/>
            <w:vMerge w:val="restart"/>
            <w:tcBorders>
              <w:top w:val="single" w:color="auto" w:sz="4" w:space="0"/>
              <w:left w:val="single" w:color="auto" w:sz="4" w:space="0"/>
              <w:right w:val="single" w:color="auto" w:sz="4" w:space="0"/>
            </w:tcBorders>
            <w:vAlign w:val="center"/>
          </w:tcPr>
          <w:p w14:paraId="1A9BD145">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2</w:t>
            </w:r>
          </w:p>
        </w:tc>
        <w:tc>
          <w:tcPr>
            <w:tcW w:w="1395" w:type="dxa"/>
            <w:vMerge w:val="restart"/>
            <w:tcBorders>
              <w:top w:val="single" w:color="auto" w:sz="4" w:space="0"/>
              <w:left w:val="single" w:color="auto" w:sz="4" w:space="0"/>
              <w:right w:val="single" w:color="auto" w:sz="4" w:space="0"/>
            </w:tcBorders>
            <w:vAlign w:val="center"/>
          </w:tcPr>
          <w:p w14:paraId="2E27A488">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宋体"/>
                <w:color w:val="000000"/>
                <w:kern w:val="0"/>
                <w:sz w:val="24"/>
                <w:szCs w:val="24"/>
                <w:lang w:val="en-US" w:eastAsia="zh-CN"/>
              </w:rPr>
              <w:t>服务便利性35%</w:t>
            </w:r>
          </w:p>
        </w:tc>
        <w:tc>
          <w:tcPr>
            <w:tcW w:w="4215" w:type="dxa"/>
            <w:tcBorders>
              <w:top w:val="single" w:color="auto" w:sz="4" w:space="0"/>
              <w:left w:val="single" w:color="auto" w:sz="4" w:space="0"/>
              <w:bottom w:val="single" w:color="auto" w:sz="4" w:space="0"/>
              <w:right w:val="single" w:color="auto" w:sz="4" w:space="0"/>
            </w:tcBorders>
            <w:vAlign w:val="center"/>
          </w:tcPr>
          <w:p w14:paraId="0CF4034E">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各投标公司需自带至少3类样品进行现场试吃，现场评审小组成员根据样品的新鲜度、单品价格、口感、种类等进行打分。评价优得11-15分，良得6-10分，一般得1-5分。（15分）</w:t>
            </w:r>
          </w:p>
        </w:tc>
        <w:tc>
          <w:tcPr>
            <w:tcW w:w="1900" w:type="dxa"/>
            <w:tcBorders>
              <w:top w:val="single" w:color="auto" w:sz="4" w:space="0"/>
              <w:left w:val="single" w:color="auto" w:sz="4" w:space="0"/>
              <w:right w:val="single" w:color="auto" w:sz="4" w:space="0"/>
            </w:tcBorders>
            <w:vAlign w:val="center"/>
          </w:tcPr>
          <w:p w14:paraId="20FC0467">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现场展示</w:t>
            </w:r>
          </w:p>
        </w:tc>
      </w:tr>
      <w:tr w14:paraId="052CF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810" w:type="dxa"/>
            <w:vMerge w:val="continue"/>
            <w:tcBorders>
              <w:left w:val="single" w:color="auto" w:sz="4" w:space="0"/>
              <w:right w:val="single" w:color="auto" w:sz="4" w:space="0"/>
            </w:tcBorders>
            <w:vAlign w:val="center"/>
          </w:tcPr>
          <w:p w14:paraId="24664DF3">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395" w:type="dxa"/>
            <w:vMerge w:val="continue"/>
            <w:tcBorders>
              <w:left w:val="single" w:color="auto" w:sz="4" w:space="0"/>
              <w:right w:val="single" w:color="auto" w:sz="4" w:space="0"/>
            </w:tcBorders>
            <w:vAlign w:val="center"/>
          </w:tcPr>
          <w:p w14:paraId="1CF3312A">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4215" w:type="dxa"/>
            <w:tcBorders>
              <w:top w:val="single" w:color="auto" w:sz="4" w:space="0"/>
              <w:left w:val="single" w:color="auto" w:sz="4" w:space="0"/>
              <w:bottom w:val="single" w:color="auto" w:sz="4" w:space="0"/>
              <w:right w:val="single" w:color="auto" w:sz="4" w:space="0"/>
            </w:tcBorders>
            <w:vAlign w:val="center"/>
          </w:tcPr>
          <w:p w14:paraId="62FE0CF0">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highlight w:val="none"/>
                <w:lang w:val="en-US" w:eastAsia="zh-CN"/>
              </w:rPr>
            </w:pPr>
            <w:r>
              <w:rPr>
                <w:rFonts w:hint="eastAsia" w:ascii="仿宋_GB2312" w:hAnsi="宋体" w:eastAsia="仿宋_GB2312" w:cs="宋体"/>
                <w:color w:val="000000"/>
                <w:kern w:val="0"/>
                <w:sz w:val="24"/>
                <w:szCs w:val="24"/>
                <w:highlight w:val="none"/>
                <w:lang w:val="en-US" w:eastAsia="zh-CN"/>
              </w:rPr>
              <w:t>根据成都市区范围内的可使用门店数量进行评分，可使用门店有30家得5分，每增加5个实体门店加1分，最多加5分，此项满分10分；</w:t>
            </w:r>
          </w:p>
        </w:tc>
        <w:tc>
          <w:tcPr>
            <w:tcW w:w="1900" w:type="dxa"/>
            <w:tcBorders>
              <w:left w:val="single" w:color="auto" w:sz="4" w:space="0"/>
              <w:bottom w:val="single" w:color="auto" w:sz="4" w:space="0"/>
              <w:right w:val="single" w:color="auto" w:sz="4" w:space="0"/>
            </w:tcBorders>
            <w:vAlign w:val="center"/>
          </w:tcPr>
          <w:p w14:paraId="55575A81">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仿宋_GB2312" w:hAnsi="宋体" w:eastAsia="仿宋_GB2312" w:cs="宋体"/>
                <w:color w:val="000000"/>
                <w:kern w:val="0"/>
                <w:sz w:val="24"/>
                <w:szCs w:val="24"/>
                <w:highlight w:val="none"/>
                <w:lang w:val="en-US" w:eastAsia="zh-CN"/>
              </w:rPr>
            </w:pPr>
          </w:p>
        </w:tc>
      </w:tr>
      <w:tr w14:paraId="23C8F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810" w:type="dxa"/>
            <w:vMerge w:val="continue"/>
            <w:tcBorders>
              <w:left w:val="single" w:color="auto" w:sz="4" w:space="0"/>
              <w:right w:val="single" w:color="auto" w:sz="4" w:space="0"/>
            </w:tcBorders>
            <w:vAlign w:val="center"/>
          </w:tcPr>
          <w:p w14:paraId="1D9E7E1C">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395" w:type="dxa"/>
            <w:vMerge w:val="continue"/>
            <w:tcBorders>
              <w:left w:val="single" w:color="auto" w:sz="4" w:space="0"/>
              <w:right w:val="single" w:color="auto" w:sz="4" w:space="0"/>
            </w:tcBorders>
            <w:vAlign w:val="center"/>
          </w:tcPr>
          <w:p w14:paraId="5E79FD07">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4215" w:type="dxa"/>
            <w:tcBorders>
              <w:top w:val="single" w:color="auto" w:sz="4" w:space="0"/>
              <w:left w:val="single" w:color="auto" w:sz="4" w:space="0"/>
              <w:bottom w:val="single" w:color="auto" w:sz="4" w:space="0"/>
              <w:right w:val="single" w:color="auto" w:sz="4" w:space="0"/>
            </w:tcBorders>
            <w:vAlign w:val="center"/>
          </w:tcPr>
          <w:p w14:paraId="1028A8A1">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highlight w:val="none"/>
                <w:lang w:val="en-US" w:eastAsia="zh-CN"/>
              </w:rPr>
            </w:pPr>
            <w:r>
              <w:rPr>
                <w:rFonts w:hint="eastAsia" w:ascii="仿宋_GB2312" w:hAnsi="仿宋_GB2312" w:eastAsia="仿宋_GB2312" w:cs="仿宋_GB2312"/>
                <w:sz w:val="24"/>
                <w:szCs w:val="24"/>
                <w:lang w:val="en-US" w:eastAsia="zh-CN"/>
              </w:rPr>
              <w:t>供应商同时有网络服务平台的，成都市区范围内可配送到家的得7分；本项最多得7分。</w:t>
            </w:r>
          </w:p>
        </w:tc>
        <w:tc>
          <w:tcPr>
            <w:tcW w:w="1900" w:type="dxa"/>
            <w:tcBorders>
              <w:left w:val="single" w:color="auto" w:sz="4" w:space="0"/>
              <w:bottom w:val="single" w:color="auto" w:sz="4" w:space="0"/>
              <w:right w:val="single" w:color="auto" w:sz="4" w:space="0"/>
            </w:tcBorders>
            <w:vAlign w:val="center"/>
          </w:tcPr>
          <w:p w14:paraId="639D40C2">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仿宋_GB2312" w:hAnsi="宋体" w:eastAsia="仿宋_GB2312" w:cs="宋体"/>
                <w:color w:val="000000"/>
                <w:kern w:val="0"/>
                <w:sz w:val="24"/>
                <w:szCs w:val="24"/>
                <w:highlight w:val="none"/>
                <w:lang w:val="en-US" w:eastAsia="zh-CN"/>
              </w:rPr>
            </w:pPr>
          </w:p>
        </w:tc>
      </w:tr>
      <w:tr w14:paraId="214B0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trPr>
        <w:tc>
          <w:tcPr>
            <w:tcW w:w="810" w:type="dxa"/>
            <w:vMerge w:val="continue"/>
            <w:tcBorders>
              <w:left w:val="single" w:color="auto" w:sz="4" w:space="0"/>
              <w:bottom w:val="single" w:color="auto" w:sz="4" w:space="0"/>
              <w:right w:val="single" w:color="auto" w:sz="4" w:space="0"/>
            </w:tcBorders>
            <w:vAlign w:val="center"/>
          </w:tcPr>
          <w:p w14:paraId="0B799B96">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1395" w:type="dxa"/>
            <w:vMerge w:val="continue"/>
            <w:tcBorders>
              <w:left w:val="single" w:color="auto" w:sz="4" w:space="0"/>
              <w:bottom w:val="single" w:color="auto" w:sz="4" w:space="0"/>
              <w:right w:val="single" w:color="auto" w:sz="4" w:space="0"/>
            </w:tcBorders>
            <w:vAlign w:val="center"/>
          </w:tcPr>
          <w:p w14:paraId="2CA11F2B">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p>
        </w:tc>
        <w:tc>
          <w:tcPr>
            <w:tcW w:w="4215" w:type="dxa"/>
            <w:tcBorders>
              <w:top w:val="single" w:color="auto" w:sz="4" w:space="0"/>
              <w:left w:val="single" w:color="auto" w:sz="4" w:space="0"/>
              <w:bottom w:val="single" w:color="auto" w:sz="4" w:space="0"/>
              <w:right w:val="single" w:color="auto" w:sz="4" w:space="0"/>
            </w:tcBorders>
            <w:vAlign w:val="center"/>
          </w:tcPr>
          <w:p w14:paraId="6D3DFCB9">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highlight w:val="none"/>
              </w:rPr>
              <w:t>供应商投标时承诺为采购人提供定制化线上商城</w:t>
            </w:r>
            <w:r>
              <w:rPr>
                <w:rFonts w:hint="eastAsia" w:ascii="仿宋_GB2312" w:hAnsi="仿宋_GB2312" w:eastAsia="仿宋_GB2312" w:cs="仿宋_GB2312"/>
                <w:sz w:val="24"/>
                <w:szCs w:val="24"/>
              </w:rPr>
              <w:t>的</w:t>
            </w:r>
            <w:r>
              <w:rPr>
                <w:rFonts w:hint="eastAsia" w:ascii="仿宋_GB2312" w:hAnsi="仿宋_GB2312" w:eastAsia="仿宋_GB2312" w:cs="仿宋_GB2312"/>
                <w:sz w:val="24"/>
                <w:szCs w:val="24"/>
                <w:lang w:eastAsia="zh-CN"/>
              </w:rPr>
              <w:t>得</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分。（供应商在投标时承诺成交后在规定时间内完成定制化线上商城的程序）本项最多得</w:t>
            </w:r>
            <w:r>
              <w:rPr>
                <w:rFonts w:hint="eastAsia" w:ascii="仿宋_GB2312" w:hAnsi="仿宋_GB2312" w:eastAsia="仿宋_GB2312" w:cs="仿宋_GB2312"/>
                <w:sz w:val="24"/>
                <w:szCs w:val="24"/>
                <w:lang w:val="en-US" w:eastAsia="zh-CN"/>
              </w:rPr>
              <w:t>3</w:t>
            </w:r>
            <w:r>
              <w:rPr>
                <w:rFonts w:hint="eastAsia" w:ascii="仿宋_GB2312" w:hAnsi="仿宋_GB2312" w:eastAsia="仿宋_GB2312" w:cs="仿宋_GB2312"/>
                <w:sz w:val="24"/>
                <w:szCs w:val="24"/>
              </w:rPr>
              <w:t>分。</w:t>
            </w:r>
          </w:p>
        </w:tc>
        <w:tc>
          <w:tcPr>
            <w:tcW w:w="1900" w:type="dxa"/>
            <w:tcBorders>
              <w:left w:val="single" w:color="auto" w:sz="4" w:space="0"/>
              <w:bottom w:val="single" w:color="auto" w:sz="4" w:space="0"/>
              <w:right w:val="single" w:color="auto" w:sz="4" w:space="0"/>
            </w:tcBorders>
            <w:vAlign w:val="center"/>
          </w:tcPr>
          <w:p w14:paraId="2BD74509">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default" w:ascii="仿宋_GB2312" w:hAnsi="宋体" w:eastAsia="仿宋_GB2312" w:cs="宋体"/>
                <w:color w:val="000000"/>
                <w:kern w:val="0"/>
                <w:sz w:val="24"/>
                <w:szCs w:val="24"/>
                <w:highlight w:val="none"/>
                <w:lang w:val="en-US" w:eastAsia="zh-CN"/>
              </w:rPr>
            </w:pPr>
          </w:p>
        </w:tc>
      </w:tr>
      <w:tr w14:paraId="6814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restart"/>
            <w:tcBorders>
              <w:top w:val="single" w:color="auto" w:sz="4" w:space="0"/>
              <w:left w:val="single" w:color="auto" w:sz="4" w:space="0"/>
              <w:right w:val="single" w:color="auto" w:sz="4" w:space="0"/>
            </w:tcBorders>
            <w:vAlign w:val="center"/>
          </w:tcPr>
          <w:p w14:paraId="7ED6519A">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ascii="宋体" w:hAnsi="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3</w:t>
            </w:r>
          </w:p>
        </w:tc>
        <w:tc>
          <w:tcPr>
            <w:tcW w:w="1395" w:type="dxa"/>
            <w:vMerge w:val="restart"/>
            <w:tcBorders>
              <w:top w:val="single" w:color="auto" w:sz="4" w:space="0"/>
              <w:left w:val="single" w:color="auto" w:sz="4" w:space="0"/>
              <w:right w:val="single" w:color="auto" w:sz="4" w:space="0"/>
            </w:tcBorders>
            <w:vAlign w:val="center"/>
          </w:tcPr>
          <w:p w14:paraId="702BE9E9">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宋体"/>
                <w:color w:val="000000"/>
                <w:kern w:val="0"/>
                <w:sz w:val="24"/>
                <w:szCs w:val="24"/>
                <w:lang w:val="en-US" w:eastAsia="zh-CN"/>
              </w:rPr>
              <w:t>实施方案25%</w:t>
            </w:r>
          </w:p>
        </w:tc>
        <w:tc>
          <w:tcPr>
            <w:tcW w:w="4215" w:type="dxa"/>
            <w:tcBorders>
              <w:top w:val="single" w:color="auto" w:sz="4" w:space="0"/>
              <w:left w:val="single" w:color="auto" w:sz="4" w:space="0"/>
              <w:bottom w:val="single" w:color="auto" w:sz="4" w:space="0"/>
              <w:right w:val="single" w:color="auto" w:sz="4" w:space="0"/>
            </w:tcBorders>
            <w:vAlign w:val="center"/>
          </w:tcPr>
          <w:p w14:paraId="76A0EFE7">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仿宋_GB2312" w:hAnsi="宋体" w:eastAsia="仿宋_GB2312" w:cs="宋体"/>
                <w:color w:val="000000"/>
                <w:kern w:val="0"/>
                <w:sz w:val="24"/>
                <w:szCs w:val="24"/>
              </w:rPr>
              <w:t>提供项目实施方案：实施方案包括但不限于项目的实施组织机构，人员安排具体方案，分工责任，供货配送方案等，可保证保鲜、快速、及时</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rPr>
              <w:t>做出详细进度计划</w:t>
            </w:r>
            <w:r>
              <w:rPr>
                <w:rFonts w:hint="eastAsia" w:ascii="仿宋_GB2312" w:hAnsi="宋体" w:eastAsia="仿宋_GB2312" w:cs="宋体"/>
                <w:color w:val="000000"/>
                <w:kern w:val="0"/>
                <w:sz w:val="24"/>
                <w:szCs w:val="24"/>
                <w:lang w:eastAsia="zh-CN"/>
              </w:rPr>
              <w:t>。</w:t>
            </w:r>
            <w:r>
              <w:rPr>
                <w:rFonts w:hint="eastAsia" w:ascii="仿宋_GB2312" w:hAnsi="宋体" w:eastAsia="仿宋_GB2312" w:cs="宋体"/>
                <w:color w:val="000000"/>
                <w:kern w:val="0"/>
                <w:sz w:val="24"/>
                <w:szCs w:val="24"/>
              </w:rPr>
              <w:t>根据投标人提出的方案综合评审，综合较好得</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5</w:t>
            </w:r>
            <w:r>
              <w:rPr>
                <w:rFonts w:hint="eastAsia" w:ascii="仿宋_GB2312" w:hAnsi="宋体" w:eastAsia="仿宋_GB2312" w:cs="宋体"/>
                <w:color w:val="000000"/>
                <w:kern w:val="0"/>
                <w:sz w:val="24"/>
                <w:szCs w:val="24"/>
              </w:rPr>
              <w:t>分；综合次之得</w:t>
            </w:r>
            <w:r>
              <w:rPr>
                <w:rFonts w:hint="eastAsia" w:ascii="仿宋_GB2312" w:hAnsi="宋体" w:eastAsia="仿宋_GB2312" w:cs="宋体"/>
                <w:color w:val="000000"/>
                <w:kern w:val="0"/>
                <w:sz w:val="24"/>
                <w:szCs w:val="24"/>
                <w:lang w:val="en-US" w:eastAsia="zh-CN"/>
              </w:rPr>
              <w:t>4</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2</w:t>
            </w:r>
            <w:r>
              <w:rPr>
                <w:rFonts w:hint="eastAsia" w:ascii="仿宋_GB2312" w:hAnsi="宋体" w:eastAsia="仿宋_GB2312" w:cs="宋体"/>
                <w:color w:val="000000"/>
                <w:kern w:val="0"/>
                <w:sz w:val="24"/>
                <w:szCs w:val="24"/>
              </w:rPr>
              <w:t>分；综合较差得</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分及以下。</w:t>
            </w:r>
            <w:r>
              <w:rPr>
                <w:rFonts w:hint="eastAsia" w:ascii="仿宋_GB2312" w:hAnsi="宋体" w:eastAsia="仿宋_GB2312" w:cs="宋体"/>
                <w:color w:val="000000"/>
                <w:kern w:val="0"/>
                <w:sz w:val="24"/>
                <w:szCs w:val="24"/>
                <w:highlight w:val="none"/>
                <w:lang w:val="en-US" w:eastAsia="zh-CN"/>
              </w:rPr>
              <w:t>此项满分7分；</w:t>
            </w:r>
          </w:p>
        </w:tc>
        <w:tc>
          <w:tcPr>
            <w:tcW w:w="1900" w:type="dxa"/>
            <w:vMerge w:val="restart"/>
            <w:tcBorders>
              <w:top w:val="single" w:color="auto" w:sz="4" w:space="0"/>
              <w:left w:val="single" w:color="auto" w:sz="4" w:space="0"/>
              <w:right w:val="single" w:color="auto" w:sz="4" w:space="0"/>
            </w:tcBorders>
            <w:vAlign w:val="center"/>
          </w:tcPr>
          <w:p w14:paraId="084BC044">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48E8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continue"/>
            <w:tcBorders>
              <w:left w:val="single" w:color="auto" w:sz="4" w:space="0"/>
              <w:right w:val="single" w:color="auto" w:sz="4" w:space="0"/>
            </w:tcBorders>
            <w:vAlign w:val="center"/>
          </w:tcPr>
          <w:p w14:paraId="6F199334">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eastAsia" w:ascii="宋体" w:hAnsi="宋体" w:cs="宋体"/>
                <w:color w:val="000000" w:themeColor="text1"/>
                <w:sz w:val="21"/>
                <w:szCs w:val="21"/>
                <w:lang w:val="en-US" w:eastAsia="zh-CN"/>
                <w14:textFill>
                  <w14:solidFill>
                    <w14:schemeClr w14:val="tx1"/>
                  </w14:solidFill>
                </w14:textFill>
              </w:rPr>
            </w:pPr>
          </w:p>
        </w:tc>
        <w:tc>
          <w:tcPr>
            <w:tcW w:w="1395" w:type="dxa"/>
            <w:vMerge w:val="continue"/>
            <w:tcBorders>
              <w:left w:val="single" w:color="auto" w:sz="4" w:space="0"/>
              <w:right w:val="single" w:color="auto" w:sz="4" w:space="0"/>
            </w:tcBorders>
            <w:vAlign w:val="center"/>
          </w:tcPr>
          <w:p w14:paraId="20555A9E">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仿宋_GB2312" w:hAnsi="宋体" w:eastAsia="仿宋_GB2312" w:cs="宋体"/>
                <w:color w:val="000000"/>
                <w:kern w:val="0"/>
                <w:sz w:val="24"/>
                <w:szCs w:val="24"/>
                <w:lang w:val="en-US" w:eastAsia="zh-CN"/>
              </w:rPr>
            </w:pPr>
          </w:p>
        </w:tc>
        <w:tc>
          <w:tcPr>
            <w:tcW w:w="4215" w:type="dxa"/>
            <w:tcBorders>
              <w:top w:val="single" w:color="auto" w:sz="4" w:space="0"/>
              <w:left w:val="single" w:color="auto" w:sz="4" w:space="0"/>
              <w:bottom w:val="single" w:color="auto" w:sz="4" w:space="0"/>
              <w:right w:val="single" w:color="auto" w:sz="4" w:space="0"/>
            </w:tcBorders>
            <w:vAlign w:val="center"/>
          </w:tcPr>
          <w:p w14:paraId="3CDF8276">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生日卡</w:t>
            </w:r>
            <w:r>
              <w:rPr>
                <w:rFonts w:hint="eastAsia" w:ascii="仿宋_GB2312" w:hAnsi="宋体" w:eastAsia="仿宋_GB2312" w:cs="宋体"/>
                <w:color w:val="000000"/>
                <w:kern w:val="0"/>
                <w:sz w:val="24"/>
                <w:szCs w:val="24"/>
              </w:rPr>
              <w:t>使用期限</w:t>
            </w:r>
            <w:r>
              <w:rPr>
                <w:rFonts w:hint="eastAsia" w:ascii="仿宋_GB2312" w:hAnsi="宋体" w:eastAsia="仿宋_GB2312" w:cs="宋体"/>
                <w:color w:val="000000"/>
                <w:kern w:val="0"/>
                <w:sz w:val="24"/>
                <w:szCs w:val="24"/>
                <w:lang w:val="en-US" w:eastAsia="zh-CN"/>
              </w:rPr>
              <w:t>3</w:t>
            </w:r>
            <w:r>
              <w:rPr>
                <w:rFonts w:hint="eastAsia" w:ascii="仿宋_GB2312" w:hAnsi="宋体" w:eastAsia="仿宋_GB2312" w:cs="宋体"/>
                <w:color w:val="000000"/>
                <w:kern w:val="0"/>
                <w:sz w:val="24"/>
                <w:szCs w:val="24"/>
              </w:rPr>
              <w:t>分。使用期限为三年</w:t>
            </w:r>
            <w:r>
              <w:rPr>
                <w:rFonts w:hint="eastAsia" w:ascii="仿宋_GB2312" w:hAnsi="宋体" w:eastAsia="仿宋_GB2312" w:cs="宋体"/>
                <w:color w:val="000000"/>
                <w:kern w:val="0"/>
                <w:sz w:val="24"/>
                <w:szCs w:val="24"/>
                <w:lang w:val="en-US" w:eastAsia="zh-CN"/>
              </w:rPr>
              <w:t>及以上</w:t>
            </w:r>
            <w:r>
              <w:rPr>
                <w:rFonts w:hint="eastAsia" w:ascii="仿宋_GB2312" w:hAnsi="宋体" w:eastAsia="仿宋_GB2312" w:cs="宋体"/>
                <w:color w:val="000000"/>
                <w:kern w:val="0"/>
                <w:sz w:val="24"/>
                <w:szCs w:val="24"/>
              </w:rPr>
              <w:t>者得</w:t>
            </w:r>
            <w:r>
              <w:rPr>
                <w:rFonts w:hint="eastAsia" w:ascii="仿宋_GB2312" w:hAnsi="宋体" w:eastAsia="仿宋_GB2312" w:cs="宋体"/>
                <w:color w:val="000000"/>
                <w:kern w:val="0"/>
                <w:sz w:val="24"/>
                <w:szCs w:val="24"/>
                <w:lang w:val="en-US" w:eastAsia="zh-CN"/>
              </w:rPr>
              <w:t>3</w:t>
            </w:r>
            <w:r>
              <w:rPr>
                <w:rFonts w:hint="eastAsia" w:ascii="仿宋_GB2312" w:hAnsi="宋体" w:eastAsia="仿宋_GB2312" w:cs="宋体"/>
                <w:color w:val="000000"/>
                <w:kern w:val="0"/>
                <w:sz w:val="24"/>
                <w:szCs w:val="24"/>
              </w:rPr>
              <w:t>分，一年到两年得2分，一年以内得</w:t>
            </w:r>
            <w:r>
              <w:rPr>
                <w:rFonts w:hint="eastAsia" w:ascii="仿宋_GB2312" w:hAnsi="宋体" w:eastAsia="仿宋_GB2312" w:cs="宋体"/>
                <w:color w:val="000000"/>
                <w:kern w:val="0"/>
                <w:sz w:val="24"/>
                <w:szCs w:val="24"/>
                <w:lang w:val="en-US" w:eastAsia="zh-CN"/>
              </w:rPr>
              <w:t>1</w:t>
            </w:r>
            <w:r>
              <w:rPr>
                <w:rFonts w:hint="eastAsia" w:ascii="仿宋_GB2312" w:hAnsi="宋体" w:eastAsia="仿宋_GB2312" w:cs="宋体"/>
                <w:color w:val="000000"/>
                <w:kern w:val="0"/>
                <w:sz w:val="24"/>
                <w:szCs w:val="24"/>
              </w:rPr>
              <w:t>分。</w:t>
            </w:r>
          </w:p>
        </w:tc>
        <w:tc>
          <w:tcPr>
            <w:tcW w:w="1900" w:type="dxa"/>
            <w:vMerge w:val="continue"/>
            <w:tcBorders>
              <w:left w:val="single" w:color="auto" w:sz="4" w:space="0"/>
              <w:right w:val="single" w:color="auto" w:sz="4" w:space="0"/>
            </w:tcBorders>
            <w:vAlign w:val="center"/>
          </w:tcPr>
          <w:p w14:paraId="1E2FD46C">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14:paraId="2E676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continue"/>
            <w:tcBorders>
              <w:left w:val="single" w:color="auto" w:sz="4" w:space="0"/>
              <w:right w:val="single" w:color="auto" w:sz="4" w:space="0"/>
            </w:tcBorders>
            <w:vAlign w:val="center"/>
          </w:tcPr>
          <w:p w14:paraId="199A01F7">
            <w:pPr>
              <w:keepNext w:val="0"/>
              <w:keepLines w:val="0"/>
              <w:pageBreakBefore w:val="0"/>
              <w:widowControl/>
              <w:kinsoku/>
              <w:wordWrap/>
              <w:overflowPunct/>
              <w:topLinePunct w:val="0"/>
              <w:autoSpaceDE/>
              <w:autoSpaceDN/>
              <w:bidi w:val="0"/>
              <w:adjustRightInd/>
              <w:snapToGrid/>
              <w:spacing w:line="340" w:lineRule="exact"/>
              <w:jc w:val="left"/>
              <w:textAlignment w:val="auto"/>
            </w:pPr>
          </w:p>
        </w:tc>
        <w:tc>
          <w:tcPr>
            <w:tcW w:w="1395" w:type="dxa"/>
            <w:vMerge w:val="continue"/>
            <w:tcBorders>
              <w:left w:val="single" w:color="auto" w:sz="4" w:space="0"/>
              <w:right w:val="single" w:color="auto" w:sz="4" w:space="0"/>
            </w:tcBorders>
            <w:vAlign w:val="center"/>
          </w:tcPr>
          <w:p w14:paraId="08BD3C09">
            <w:pPr>
              <w:keepNext w:val="0"/>
              <w:keepLines w:val="0"/>
              <w:pageBreakBefore w:val="0"/>
              <w:widowControl/>
              <w:kinsoku/>
              <w:wordWrap/>
              <w:overflowPunct/>
              <w:topLinePunct w:val="0"/>
              <w:autoSpaceDE/>
              <w:autoSpaceDN/>
              <w:bidi w:val="0"/>
              <w:adjustRightInd/>
              <w:snapToGrid/>
              <w:spacing w:line="340" w:lineRule="exact"/>
              <w:jc w:val="left"/>
              <w:textAlignment w:val="auto"/>
            </w:pPr>
          </w:p>
        </w:tc>
        <w:tc>
          <w:tcPr>
            <w:tcW w:w="4215" w:type="dxa"/>
            <w:tcBorders>
              <w:top w:val="single" w:color="auto" w:sz="4" w:space="0"/>
              <w:left w:val="single" w:color="auto" w:sz="4" w:space="0"/>
              <w:bottom w:val="single" w:color="auto" w:sz="4" w:space="0"/>
              <w:right w:val="single" w:color="auto" w:sz="4" w:space="0"/>
            </w:tcBorders>
            <w:vAlign w:val="center"/>
          </w:tcPr>
          <w:p w14:paraId="6D4DEDAF">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提供售后服务方案：</w:t>
            </w:r>
            <w:r>
              <w:rPr>
                <w:rFonts w:hint="eastAsia" w:ascii="仿宋_GB2312" w:hAnsi="宋体" w:eastAsia="仿宋_GB2312" w:cs="宋体"/>
                <w:color w:val="000000"/>
                <w:kern w:val="0"/>
                <w:sz w:val="24"/>
                <w:szCs w:val="24"/>
                <w:lang w:eastAsia="zh-CN"/>
              </w:rPr>
              <w:t>含质量、货源保证、质保期、产品验收标准。</w:t>
            </w:r>
            <w:r>
              <w:rPr>
                <w:rFonts w:hint="eastAsia" w:ascii="仿宋_GB2312" w:hAnsi="宋体" w:eastAsia="仿宋_GB2312" w:cs="宋体"/>
                <w:color w:val="000000"/>
                <w:kern w:val="0"/>
                <w:sz w:val="24"/>
                <w:szCs w:val="24"/>
                <w:lang w:val="en-US" w:eastAsia="zh-CN"/>
              </w:rPr>
              <w:t>可实现线上发放、电子签收、提供签收数据等服务。</w:t>
            </w:r>
            <w:r>
              <w:rPr>
                <w:rFonts w:hint="eastAsia" w:ascii="仿宋_GB2312" w:hAnsi="宋体" w:eastAsia="仿宋_GB2312" w:cs="宋体"/>
                <w:color w:val="000000"/>
                <w:kern w:val="0"/>
                <w:sz w:val="24"/>
                <w:szCs w:val="24"/>
              </w:rPr>
              <w:t>根据投标人提出的方案综合评审，综合较好得</w:t>
            </w:r>
            <w:r>
              <w:rPr>
                <w:rFonts w:hint="eastAsia" w:ascii="仿宋_GB2312" w:hAnsi="宋体" w:eastAsia="仿宋_GB2312" w:cs="宋体"/>
                <w:color w:val="000000"/>
                <w:kern w:val="0"/>
                <w:sz w:val="24"/>
                <w:szCs w:val="24"/>
                <w:lang w:val="en-US" w:eastAsia="zh-CN"/>
              </w:rPr>
              <w:t>10</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8</w:t>
            </w:r>
            <w:r>
              <w:rPr>
                <w:rFonts w:hint="eastAsia" w:ascii="仿宋_GB2312" w:hAnsi="宋体" w:eastAsia="仿宋_GB2312" w:cs="宋体"/>
                <w:color w:val="000000"/>
                <w:kern w:val="0"/>
                <w:sz w:val="24"/>
                <w:szCs w:val="24"/>
              </w:rPr>
              <w:t>分；综合次之得</w:t>
            </w:r>
            <w:r>
              <w:rPr>
                <w:rFonts w:hint="eastAsia" w:ascii="仿宋_GB2312" w:hAnsi="宋体" w:eastAsia="仿宋_GB2312" w:cs="宋体"/>
                <w:color w:val="000000"/>
                <w:kern w:val="0"/>
                <w:sz w:val="24"/>
                <w:szCs w:val="24"/>
                <w:lang w:val="en-US" w:eastAsia="zh-CN"/>
              </w:rPr>
              <w:t>5</w:t>
            </w:r>
            <w:r>
              <w:rPr>
                <w:rFonts w:hint="eastAsia" w:ascii="仿宋_GB2312" w:hAnsi="宋体" w:eastAsia="仿宋_GB2312" w:cs="宋体"/>
                <w:color w:val="000000"/>
                <w:kern w:val="0"/>
                <w:sz w:val="24"/>
                <w:szCs w:val="24"/>
              </w:rPr>
              <w:t>-</w:t>
            </w:r>
            <w:r>
              <w:rPr>
                <w:rFonts w:hint="eastAsia" w:ascii="仿宋_GB2312" w:hAnsi="宋体" w:eastAsia="仿宋_GB2312" w:cs="宋体"/>
                <w:color w:val="000000"/>
                <w:kern w:val="0"/>
                <w:sz w:val="24"/>
                <w:szCs w:val="24"/>
                <w:lang w:val="en-US" w:eastAsia="zh-CN"/>
              </w:rPr>
              <w:t>7</w:t>
            </w:r>
            <w:r>
              <w:rPr>
                <w:rFonts w:hint="eastAsia" w:ascii="仿宋_GB2312" w:hAnsi="宋体" w:eastAsia="仿宋_GB2312" w:cs="宋体"/>
                <w:color w:val="000000"/>
                <w:kern w:val="0"/>
                <w:sz w:val="24"/>
                <w:szCs w:val="24"/>
              </w:rPr>
              <w:t>分；综合较差得</w:t>
            </w:r>
            <w:r>
              <w:rPr>
                <w:rFonts w:hint="eastAsia" w:ascii="仿宋_GB2312" w:hAnsi="宋体" w:eastAsia="仿宋_GB2312" w:cs="宋体"/>
                <w:color w:val="000000"/>
                <w:kern w:val="0"/>
                <w:sz w:val="24"/>
                <w:szCs w:val="24"/>
                <w:lang w:val="en-US" w:eastAsia="zh-CN"/>
              </w:rPr>
              <w:t>4</w:t>
            </w:r>
            <w:r>
              <w:rPr>
                <w:rFonts w:hint="eastAsia" w:ascii="仿宋_GB2312" w:hAnsi="宋体" w:eastAsia="仿宋_GB2312" w:cs="宋体"/>
                <w:color w:val="000000"/>
                <w:kern w:val="0"/>
                <w:sz w:val="24"/>
                <w:szCs w:val="24"/>
              </w:rPr>
              <w:t>分及以下。</w:t>
            </w:r>
            <w:r>
              <w:rPr>
                <w:rFonts w:hint="eastAsia" w:ascii="仿宋_GB2312" w:hAnsi="宋体" w:eastAsia="仿宋_GB2312" w:cs="宋体"/>
                <w:color w:val="000000"/>
                <w:kern w:val="0"/>
                <w:sz w:val="24"/>
                <w:szCs w:val="24"/>
                <w:highlight w:val="none"/>
                <w:lang w:val="en-US" w:eastAsia="zh-CN"/>
              </w:rPr>
              <w:t>此项满分10分；</w:t>
            </w:r>
          </w:p>
        </w:tc>
        <w:tc>
          <w:tcPr>
            <w:tcW w:w="1900" w:type="dxa"/>
            <w:vMerge w:val="continue"/>
            <w:tcBorders>
              <w:left w:val="single" w:color="auto" w:sz="4" w:space="0"/>
              <w:right w:val="single" w:color="auto" w:sz="4" w:space="0"/>
            </w:tcBorders>
            <w:vAlign w:val="center"/>
          </w:tcPr>
          <w:p w14:paraId="471D98BC">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r>
      <w:tr w14:paraId="095A5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10" w:type="dxa"/>
            <w:vMerge w:val="continue"/>
            <w:tcBorders>
              <w:left w:val="single" w:color="auto" w:sz="4" w:space="0"/>
              <w:bottom w:val="single" w:color="auto" w:sz="4" w:space="0"/>
              <w:right w:val="single" w:color="auto" w:sz="4" w:space="0"/>
            </w:tcBorders>
            <w:vAlign w:val="center"/>
          </w:tcPr>
          <w:p w14:paraId="0D062387">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c>
          <w:tcPr>
            <w:tcW w:w="1395" w:type="dxa"/>
            <w:vMerge w:val="continue"/>
            <w:tcBorders>
              <w:left w:val="single" w:color="auto" w:sz="4" w:space="0"/>
              <w:bottom w:val="single" w:color="auto" w:sz="4" w:space="0"/>
              <w:right w:val="single" w:color="auto" w:sz="4" w:space="0"/>
            </w:tcBorders>
            <w:vAlign w:val="center"/>
          </w:tcPr>
          <w:p w14:paraId="7BF214BD">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c>
          <w:tcPr>
            <w:tcW w:w="4215" w:type="dxa"/>
            <w:tcBorders>
              <w:top w:val="single" w:color="auto" w:sz="4" w:space="0"/>
              <w:left w:val="single" w:color="auto" w:sz="4" w:space="0"/>
              <w:bottom w:val="single" w:color="auto" w:sz="4" w:space="0"/>
              <w:right w:val="single" w:color="auto" w:sz="4" w:space="0"/>
            </w:tcBorders>
            <w:vAlign w:val="center"/>
          </w:tcPr>
          <w:p w14:paraId="35D1E3EA">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r>
              <w:rPr>
                <w:rFonts w:hint="eastAsia" w:ascii="仿宋_GB2312" w:hAnsi="宋体" w:eastAsia="仿宋_GB2312" w:cs="宋体"/>
                <w:color w:val="000000"/>
                <w:kern w:val="0"/>
                <w:sz w:val="24"/>
                <w:szCs w:val="24"/>
                <w:lang w:val="en-US" w:eastAsia="zh-CN"/>
              </w:rPr>
              <w:t>提供应急服务方案：如产品出现质量问题，须在1个工作日内响应，明确售后联系方式，保证售后服务的质量和态度</w:t>
            </w:r>
            <w:r>
              <w:rPr>
                <w:rFonts w:hint="eastAsia" w:ascii="仿宋_GB2312" w:hAnsi="宋体" w:eastAsia="仿宋_GB2312" w:cs="宋体"/>
                <w:color w:val="000000"/>
                <w:kern w:val="0"/>
                <w:sz w:val="24"/>
                <w:szCs w:val="24"/>
              </w:rPr>
              <w:t>，优得</w:t>
            </w:r>
            <w:r>
              <w:rPr>
                <w:rFonts w:hint="eastAsia" w:ascii="仿宋_GB2312" w:hAnsi="宋体" w:eastAsia="仿宋_GB2312" w:cs="宋体"/>
                <w:color w:val="000000"/>
                <w:kern w:val="0"/>
                <w:sz w:val="24"/>
                <w:szCs w:val="24"/>
                <w:highlight w:val="none"/>
                <w:lang w:val="en-US" w:eastAsia="zh-CN"/>
              </w:rPr>
              <w:t>5-4</w:t>
            </w:r>
            <w:r>
              <w:rPr>
                <w:rFonts w:hint="eastAsia" w:ascii="仿宋_GB2312" w:hAnsi="宋体" w:eastAsia="仿宋_GB2312" w:cs="宋体"/>
                <w:color w:val="000000"/>
                <w:kern w:val="0"/>
                <w:sz w:val="24"/>
                <w:szCs w:val="24"/>
              </w:rPr>
              <w:t>分，良得</w:t>
            </w:r>
            <w:r>
              <w:rPr>
                <w:rFonts w:hint="eastAsia" w:ascii="仿宋_GB2312" w:hAnsi="宋体" w:eastAsia="仿宋_GB2312" w:cs="宋体"/>
                <w:color w:val="000000"/>
                <w:kern w:val="0"/>
                <w:sz w:val="24"/>
                <w:szCs w:val="24"/>
                <w:lang w:val="en-US" w:eastAsia="zh-CN"/>
              </w:rPr>
              <w:t>2-3</w:t>
            </w:r>
            <w:r>
              <w:rPr>
                <w:rFonts w:hint="eastAsia" w:ascii="仿宋_GB2312" w:hAnsi="宋体" w:eastAsia="仿宋_GB2312" w:cs="宋体"/>
                <w:color w:val="000000"/>
                <w:kern w:val="0"/>
                <w:sz w:val="24"/>
                <w:szCs w:val="24"/>
              </w:rPr>
              <w:t>分，</w:t>
            </w:r>
            <w:r>
              <w:rPr>
                <w:rFonts w:hint="eastAsia" w:ascii="仿宋_GB2312" w:hAnsi="宋体" w:eastAsia="仿宋_GB2312" w:cs="宋体"/>
                <w:color w:val="000000"/>
                <w:kern w:val="0"/>
                <w:sz w:val="24"/>
                <w:szCs w:val="24"/>
                <w:lang w:val="en-US" w:eastAsia="zh-CN"/>
              </w:rPr>
              <w:t>一般</w:t>
            </w:r>
            <w:r>
              <w:rPr>
                <w:rFonts w:hint="eastAsia" w:ascii="仿宋_GB2312" w:hAnsi="宋体" w:eastAsia="仿宋_GB2312" w:cs="宋体"/>
                <w:color w:val="000000"/>
                <w:kern w:val="0"/>
                <w:sz w:val="24"/>
                <w:szCs w:val="24"/>
                <w:lang w:eastAsia="zh-CN"/>
              </w:rPr>
              <w:t>得</w:t>
            </w:r>
            <w:r>
              <w:rPr>
                <w:rFonts w:hint="eastAsia" w:ascii="仿宋_GB2312" w:hAnsi="宋体" w:eastAsia="仿宋_GB2312" w:cs="宋体"/>
                <w:color w:val="000000"/>
                <w:kern w:val="0"/>
                <w:sz w:val="24"/>
                <w:szCs w:val="24"/>
                <w:lang w:val="en-US" w:eastAsia="zh-CN"/>
              </w:rPr>
              <w:t>1分以下，</w:t>
            </w:r>
            <w:r>
              <w:rPr>
                <w:rFonts w:hint="eastAsia" w:ascii="仿宋_GB2312" w:hAnsi="宋体" w:eastAsia="仿宋_GB2312" w:cs="宋体"/>
                <w:color w:val="000000"/>
                <w:kern w:val="0"/>
                <w:sz w:val="24"/>
                <w:szCs w:val="24"/>
              </w:rPr>
              <w:t>未按要求提供的不得分。</w:t>
            </w:r>
            <w:r>
              <w:rPr>
                <w:rFonts w:hint="eastAsia" w:ascii="仿宋_GB2312" w:hAnsi="宋体" w:eastAsia="仿宋_GB2312" w:cs="宋体"/>
                <w:color w:val="000000"/>
                <w:kern w:val="0"/>
                <w:sz w:val="24"/>
                <w:szCs w:val="24"/>
                <w:highlight w:val="none"/>
                <w:lang w:val="en-US" w:eastAsia="zh-CN"/>
              </w:rPr>
              <w:t>此项满分5分；</w:t>
            </w:r>
          </w:p>
        </w:tc>
        <w:tc>
          <w:tcPr>
            <w:tcW w:w="1900" w:type="dxa"/>
            <w:vMerge w:val="continue"/>
            <w:tcBorders>
              <w:left w:val="single" w:color="auto" w:sz="4" w:space="0"/>
              <w:bottom w:val="single" w:color="auto" w:sz="4" w:space="0"/>
              <w:right w:val="single" w:color="auto" w:sz="4" w:space="0"/>
            </w:tcBorders>
            <w:vAlign w:val="center"/>
          </w:tcPr>
          <w:p w14:paraId="01CCA27C">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仿宋_GB2312" w:hAnsi="宋体" w:eastAsia="仿宋_GB2312" w:cs="宋体"/>
                <w:color w:val="000000"/>
                <w:kern w:val="0"/>
                <w:sz w:val="24"/>
                <w:szCs w:val="24"/>
              </w:rPr>
            </w:pPr>
          </w:p>
        </w:tc>
      </w:tr>
      <w:tr w14:paraId="44F72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810" w:type="dxa"/>
            <w:tcBorders>
              <w:top w:val="single" w:color="auto" w:sz="4" w:space="0"/>
              <w:left w:val="single" w:color="auto" w:sz="4" w:space="0"/>
              <w:bottom w:val="single" w:color="auto" w:sz="4" w:space="0"/>
              <w:right w:val="single" w:color="auto" w:sz="4" w:space="0"/>
            </w:tcBorders>
            <w:vAlign w:val="center"/>
          </w:tcPr>
          <w:p w14:paraId="070EF5BB">
            <w:pPr>
              <w:keepNext w:val="0"/>
              <w:keepLines w:val="0"/>
              <w:pageBreakBefore w:val="0"/>
              <w:widowControl w:val="0"/>
              <w:kinsoku/>
              <w:wordWrap/>
              <w:overflowPunct/>
              <w:topLinePunct w:val="0"/>
              <w:autoSpaceDE/>
              <w:autoSpaceDN/>
              <w:bidi w:val="0"/>
              <w:adjustRightInd/>
              <w:snapToGrid w:val="0"/>
              <w:spacing w:line="360" w:lineRule="exact"/>
              <w:jc w:val="center"/>
              <w:textAlignment w:val="auto"/>
              <w:rPr>
                <w:rFonts w:hint="default" w:ascii="宋体" w:hAnsi="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lang w:val="en-US" w:eastAsia="zh-CN"/>
                <w14:textFill>
                  <w14:solidFill>
                    <w14:schemeClr w14:val="tx1"/>
                  </w14:solidFill>
                </w14:textFill>
              </w:rPr>
              <w:t>4</w:t>
            </w:r>
          </w:p>
        </w:tc>
        <w:tc>
          <w:tcPr>
            <w:tcW w:w="1395" w:type="dxa"/>
            <w:tcBorders>
              <w:top w:val="single" w:color="auto" w:sz="4" w:space="0"/>
              <w:left w:val="single" w:color="auto" w:sz="4" w:space="0"/>
              <w:bottom w:val="single" w:color="auto" w:sz="4" w:space="0"/>
              <w:right w:val="single" w:color="auto" w:sz="4" w:space="0"/>
            </w:tcBorders>
            <w:vAlign w:val="center"/>
          </w:tcPr>
          <w:p w14:paraId="27551EFE">
            <w:pPr>
              <w:keepNext w:val="0"/>
              <w:keepLines w:val="0"/>
              <w:pageBreakBefore w:val="0"/>
              <w:widowControl/>
              <w:kinsoku/>
              <w:wordWrap/>
              <w:overflowPunct/>
              <w:topLinePunct w:val="0"/>
              <w:autoSpaceDE/>
              <w:autoSpaceDN/>
              <w:bidi w:val="0"/>
              <w:adjustRightInd/>
              <w:snapToGrid/>
              <w:spacing w:before="100" w:beforeAutospacing="1" w:after="100" w:afterAutospacing="1" w:line="340" w:lineRule="exact"/>
              <w:jc w:val="center"/>
              <w:textAlignment w:val="auto"/>
              <w:rPr>
                <w:rFonts w:hint="eastAsia" w:ascii="宋体" w:hAnsi="宋体"/>
                <w:sz w:val="24"/>
                <w:szCs w:val="24"/>
              </w:rPr>
            </w:pPr>
            <w:r>
              <w:rPr>
                <w:rFonts w:hint="eastAsia" w:ascii="仿宋_GB2312" w:hAnsi="宋体" w:eastAsia="仿宋_GB2312" w:cs="宋体"/>
                <w:color w:val="000000"/>
                <w:kern w:val="0"/>
                <w:sz w:val="24"/>
                <w:szCs w:val="24"/>
              </w:rPr>
              <w:t>机构业绩</w:t>
            </w:r>
            <w:r>
              <w:rPr>
                <w:rFonts w:hint="eastAsia" w:ascii="仿宋_GB2312" w:hAnsi="宋体" w:eastAsia="仿宋_GB2312" w:cs="宋体"/>
                <w:color w:val="000000"/>
                <w:kern w:val="0"/>
                <w:sz w:val="24"/>
                <w:szCs w:val="24"/>
                <w:lang w:val="en-US" w:eastAsia="zh-CN"/>
              </w:rPr>
              <w:t>20</w:t>
            </w:r>
            <w:r>
              <w:rPr>
                <w:rFonts w:hint="eastAsia" w:ascii="仿宋_GB2312" w:hAnsi="宋体" w:eastAsia="仿宋_GB2312" w:cs="宋体"/>
                <w:color w:val="000000"/>
                <w:kern w:val="0"/>
                <w:sz w:val="24"/>
                <w:szCs w:val="24"/>
              </w:rPr>
              <w:t>%</w:t>
            </w:r>
          </w:p>
        </w:tc>
        <w:tc>
          <w:tcPr>
            <w:tcW w:w="4215" w:type="dxa"/>
            <w:tcBorders>
              <w:top w:val="single" w:color="auto" w:sz="4" w:space="0"/>
              <w:left w:val="single" w:color="auto" w:sz="4" w:space="0"/>
              <w:bottom w:val="single" w:color="auto" w:sz="4" w:space="0"/>
              <w:right w:val="single" w:color="auto" w:sz="4" w:space="0"/>
            </w:tcBorders>
            <w:vAlign w:val="center"/>
          </w:tcPr>
          <w:p w14:paraId="7CEF951B">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sz w:val="24"/>
                <w:szCs w:val="24"/>
              </w:rPr>
            </w:pPr>
            <w:r>
              <w:rPr>
                <w:rFonts w:hint="eastAsia" w:ascii="仿宋_GB2312" w:hAnsi="宋体" w:eastAsia="仿宋_GB2312" w:cs="宋体"/>
                <w:color w:val="000000"/>
                <w:kern w:val="0"/>
                <w:sz w:val="24"/>
                <w:szCs w:val="24"/>
              </w:rPr>
              <w:t>根据供应商20</w:t>
            </w:r>
            <w:r>
              <w:rPr>
                <w:rFonts w:hint="eastAsia" w:ascii="仿宋_GB2312" w:hAnsi="宋体" w:eastAsia="仿宋_GB2312" w:cs="宋体"/>
                <w:color w:val="000000"/>
                <w:kern w:val="0"/>
                <w:sz w:val="24"/>
                <w:szCs w:val="24"/>
                <w:lang w:val="en-US" w:eastAsia="zh-CN"/>
              </w:rPr>
              <w:t>22</w:t>
            </w:r>
            <w:r>
              <w:rPr>
                <w:rFonts w:hint="eastAsia" w:ascii="仿宋_GB2312" w:hAnsi="宋体" w:eastAsia="仿宋_GB2312" w:cs="宋体"/>
                <w:color w:val="000000"/>
                <w:kern w:val="0"/>
                <w:sz w:val="24"/>
                <w:szCs w:val="24"/>
              </w:rPr>
              <w:t>年至今</w:t>
            </w:r>
            <w:r>
              <w:rPr>
                <w:rFonts w:hint="eastAsia" w:ascii="仿宋_GB2312" w:hAnsi="宋体" w:eastAsia="仿宋_GB2312" w:cs="宋体"/>
                <w:color w:val="000000"/>
                <w:kern w:val="0"/>
                <w:sz w:val="24"/>
                <w:szCs w:val="24"/>
                <w:lang w:val="en-US" w:eastAsia="zh-CN"/>
              </w:rPr>
              <w:t>类似</w:t>
            </w:r>
            <w:r>
              <w:rPr>
                <w:rFonts w:hint="eastAsia" w:ascii="仿宋_GB2312" w:hAnsi="宋体" w:eastAsia="仿宋_GB2312" w:cs="宋体"/>
                <w:color w:val="000000"/>
                <w:kern w:val="0"/>
                <w:sz w:val="24"/>
                <w:szCs w:val="24"/>
              </w:rPr>
              <w:t>项目业绩，</w:t>
            </w:r>
            <w:r>
              <w:rPr>
                <w:rFonts w:hint="eastAsia" w:ascii="仿宋_GB2312" w:hAnsi="宋体" w:eastAsia="仿宋_GB2312" w:cs="宋体"/>
                <w:color w:val="000000"/>
                <w:kern w:val="0"/>
                <w:sz w:val="24"/>
                <w:szCs w:val="24"/>
                <w:lang w:eastAsia="zh-CN"/>
              </w:rPr>
              <w:t>服务</w:t>
            </w:r>
            <w:r>
              <w:rPr>
                <w:rFonts w:hint="eastAsia" w:ascii="仿宋_GB2312" w:hAnsi="宋体" w:eastAsia="仿宋_GB2312" w:cs="宋体"/>
                <w:color w:val="000000"/>
                <w:kern w:val="0"/>
                <w:sz w:val="24"/>
                <w:szCs w:val="24"/>
                <w:lang w:val="en-US" w:eastAsia="zh-CN"/>
              </w:rPr>
              <w:t>商</w:t>
            </w:r>
            <w:r>
              <w:rPr>
                <w:rFonts w:hint="eastAsia" w:ascii="仿宋_GB2312" w:hAnsi="宋体" w:eastAsia="仿宋_GB2312" w:cs="宋体"/>
                <w:color w:val="000000"/>
                <w:kern w:val="0"/>
                <w:sz w:val="24"/>
                <w:szCs w:val="24"/>
                <w:lang w:eastAsia="zh-CN"/>
              </w:rPr>
              <w:t>每提供一个业绩证明的得</w:t>
            </w:r>
            <w:r>
              <w:rPr>
                <w:rFonts w:hint="eastAsia" w:ascii="仿宋_GB2312" w:hAnsi="宋体" w:eastAsia="仿宋_GB2312" w:cs="宋体"/>
                <w:color w:val="000000"/>
                <w:kern w:val="0"/>
                <w:sz w:val="24"/>
                <w:szCs w:val="24"/>
                <w:lang w:val="en-US" w:eastAsia="zh-CN"/>
              </w:rPr>
              <w:t>2分，最高得20分。</w:t>
            </w:r>
            <w:r>
              <w:rPr>
                <w:rFonts w:hint="eastAsia" w:ascii="仿宋_GB2312" w:hAnsi="宋体" w:eastAsia="仿宋_GB2312" w:cs="宋体"/>
                <w:color w:val="000000"/>
                <w:kern w:val="0"/>
                <w:sz w:val="24"/>
                <w:szCs w:val="24"/>
              </w:rPr>
              <w:t>备注：评审时需提供业绩合同</w:t>
            </w:r>
            <w:r>
              <w:rPr>
                <w:rFonts w:hint="eastAsia" w:ascii="仿宋_GB2312" w:hAnsi="宋体" w:eastAsia="仿宋_GB2312" w:cs="宋体"/>
                <w:color w:val="000000"/>
                <w:kern w:val="0"/>
                <w:sz w:val="24"/>
                <w:szCs w:val="24"/>
                <w:lang w:val="en-US" w:eastAsia="zh-CN"/>
              </w:rPr>
              <w:t>复印</w:t>
            </w:r>
            <w:r>
              <w:rPr>
                <w:rFonts w:hint="eastAsia" w:ascii="仿宋_GB2312" w:hAnsi="宋体" w:eastAsia="仿宋_GB2312" w:cs="宋体"/>
                <w:color w:val="000000"/>
                <w:kern w:val="0"/>
                <w:sz w:val="24"/>
                <w:szCs w:val="24"/>
              </w:rPr>
              <w:t>件、签约单位联系人、联系电话备查。（未按要求提供的不得分）。</w:t>
            </w:r>
          </w:p>
        </w:tc>
        <w:tc>
          <w:tcPr>
            <w:tcW w:w="1900" w:type="dxa"/>
            <w:tcBorders>
              <w:top w:val="single" w:color="auto" w:sz="4" w:space="0"/>
              <w:left w:val="single" w:color="auto" w:sz="4" w:space="0"/>
              <w:bottom w:val="single" w:color="auto" w:sz="4" w:space="0"/>
              <w:right w:val="single" w:color="auto" w:sz="4" w:space="0"/>
            </w:tcBorders>
            <w:vAlign w:val="center"/>
          </w:tcPr>
          <w:p w14:paraId="6C6FA23F">
            <w:pPr>
              <w:keepNext w:val="0"/>
              <w:keepLines w:val="0"/>
              <w:pageBreakBefore w:val="0"/>
              <w:widowControl w:val="0"/>
              <w:kinsoku/>
              <w:wordWrap/>
              <w:overflowPunct/>
              <w:topLinePunct w:val="0"/>
              <w:autoSpaceDE/>
              <w:autoSpaceDN/>
              <w:bidi w:val="0"/>
              <w:adjustRightInd/>
              <w:snapToGrid w:val="0"/>
              <w:spacing w:line="360" w:lineRule="exact"/>
              <w:jc w:val="left"/>
              <w:textAlignment w:val="auto"/>
              <w:rPr>
                <w:rFonts w:hint="eastAsia" w:ascii="宋体" w:hAnsi="宋体" w:eastAsia="宋体" w:cs="宋体"/>
                <w:color w:val="000000" w:themeColor="text1"/>
                <w:sz w:val="21"/>
                <w:szCs w:val="21"/>
                <w:lang w:val="en-US" w:eastAsia="zh-CN"/>
                <w14:textFill>
                  <w14:solidFill>
                    <w14:schemeClr w14:val="tx1"/>
                  </w14:solidFill>
                </w14:textFill>
              </w:rPr>
            </w:pPr>
          </w:p>
        </w:tc>
      </w:tr>
    </w:tbl>
    <w:p w14:paraId="50BCE86B">
      <w:pPr>
        <w:pStyle w:val="2"/>
        <w:rPr>
          <w:rFonts w:hint="default"/>
          <w:lang w:val="en-US" w:eastAsia="zh-CN"/>
        </w:rPr>
      </w:pPr>
    </w:p>
    <w:p w14:paraId="286CDCFB">
      <w:pPr>
        <w:pStyle w:val="2"/>
        <w:rPr>
          <w:rFonts w:hint="default"/>
          <w:lang w:val="en-US" w:eastAsia="zh-CN"/>
        </w:rPr>
      </w:pPr>
    </w:p>
    <w:p w14:paraId="563A5FD1">
      <w:pPr>
        <w:pStyle w:val="2"/>
        <w:rPr>
          <w:rFonts w:hint="default"/>
          <w:lang w:val="en-US" w:eastAsia="zh-CN"/>
        </w:rPr>
      </w:pPr>
    </w:p>
    <w:p w14:paraId="703FB37E">
      <w:pPr>
        <w:pStyle w:val="2"/>
        <w:rPr>
          <w:rFonts w:hint="default"/>
          <w:lang w:val="en-US" w:eastAsia="zh-CN"/>
        </w:rPr>
      </w:pPr>
    </w:p>
    <w:p w14:paraId="08D51463">
      <w:pPr>
        <w:pStyle w:val="2"/>
        <w:rPr>
          <w:rFonts w:hint="default"/>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kNjAwNzgxNzUxOWE3NzNkNzhlMDg5ZGM5NWI3N2UifQ=="/>
  </w:docVars>
  <w:rsids>
    <w:rsidRoot w:val="63CC705F"/>
    <w:rsid w:val="000F5F0F"/>
    <w:rsid w:val="02107904"/>
    <w:rsid w:val="02652228"/>
    <w:rsid w:val="028C051D"/>
    <w:rsid w:val="03305D42"/>
    <w:rsid w:val="09781384"/>
    <w:rsid w:val="0D984ECC"/>
    <w:rsid w:val="0DDF094F"/>
    <w:rsid w:val="0E9432F4"/>
    <w:rsid w:val="0EE10411"/>
    <w:rsid w:val="0F742663"/>
    <w:rsid w:val="152476A0"/>
    <w:rsid w:val="166761D4"/>
    <w:rsid w:val="17327BFA"/>
    <w:rsid w:val="196A7A58"/>
    <w:rsid w:val="19755D1C"/>
    <w:rsid w:val="1C531034"/>
    <w:rsid w:val="1D142208"/>
    <w:rsid w:val="1D5F73D7"/>
    <w:rsid w:val="1F150F90"/>
    <w:rsid w:val="255B2931"/>
    <w:rsid w:val="259A4E30"/>
    <w:rsid w:val="265A3664"/>
    <w:rsid w:val="29EA048C"/>
    <w:rsid w:val="2B4719FF"/>
    <w:rsid w:val="2B8D783A"/>
    <w:rsid w:val="2BE305FB"/>
    <w:rsid w:val="2C3744CA"/>
    <w:rsid w:val="2D7F70E6"/>
    <w:rsid w:val="2E2043CE"/>
    <w:rsid w:val="302D4B88"/>
    <w:rsid w:val="303F3488"/>
    <w:rsid w:val="308C564D"/>
    <w:rsid w:val="31340992"/>
    <w:rsid w:val="316B4D80"/>
    <w:rsid w:val="32780D9A"/>
    <w:rsid w:val="32FF72A7"/>
    <w:rsid w:val="39354084"/>
    <w:rsid w:val="3AD510B0"/>
    <w:rsid w:val="3E802EF7"/>
    <w:rsid w:val="3ECF2549"/>
    <w:rsid w:val="3F533F56"/>
    <w:rsid w:val="40D0279D"/>
    <w:rsid w:val="43B37DC1"/>
    <w:rsid w:val="444E4A33"/>
    <w:rsid w:val="4538576E"/>
    <w:rsid w:val="4B106A1B"/>
    <w:rsid w:val="4B120400"/>
    <w:rsid w:val="4BBF09A8"/>
    <w:rsid w:val="4BFC1F5C"/>
    <w:rsid w:val="4D9E6C78"/>
    <w:rsid w:val="4E32686D"/>
    <w:rsid w:val="590D5D3B"/>
    <w:rsid w:val="59563FA0"/>
    <w:rsid w:val="5E6B109B"/>
    <w:rsid w:val="5F145314"/>
    <w:rsid w:val="5F492BBF"/>
    <w:rsid w:val="61024131"/>
    <w:rsid w:val="63132C95"/>
    <w:rsid w:val="63376DBF"/>
    <w:rsid w:val="63CC705F"/>
    <w:rsid w:val="66134265"/>
    <w:rsid w:val="67402BC5"/>
    <w:rsid w:val="684024CC"/>
    <w:rsid w:val="68650764"/>
    <w:rsid w:val="6B2856E8"/>
    <w:rsid w:val="6BCC0CBD"/>
    <w:rsid w:val="6C8F77B4"/>
    <w:rsid w:val="6F365A7D"/>
    <w:rsid w:val="705C5332"/>
    <w:rsid w:val="70B76B39"/>
    <w:rsid w:val="71716735"/>
    <w:rsid w:val="72186DEE"/>
    <w:rsid w:val="748D63D4"/>
    <w:rsid w:val="78742949"/>
    <w:rsid w:val="78EA7144"/>
    <w:rsid w:val="7A877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autoRedefine/>
    <w:qFormat/>
    <w:uiPriority w:val="0"/>
    <w:pPr>
      <w:keepNext/>
      <w:keepLines/>
      <w:spacing w:before="260" w:after="260" w:line="500" w:lineRule="exact"/>
      <w:outlineLvl w:val="1"/>
    </w:pPr>
    <w:rPr>
      <w:rFonts w:ascii="Arial" w:hAnsi="Arial" w:eastAsia="黑体"/>
      <w:b/>
      <w:sz w:val="28"/>
      <w:szCs w:val="20"/>
    </w:rPr>
  </w:style>
  <w:style w:type="paragraph" w:styleId="5">
    <w:name w:val="heading 4"/>
    <w:basedOn w:val="1"/>
    <w:next w:val="1"/>
    <w:autoRedefine/>
    <w:qFormat/>
    <w:uiPriority w:val="9"/>
    <w:pPr>
      <w:keepNext/>
      <w:spacing w:before="240" w:after="60"/>
      <w:outlineLvl w:val="3"/>
    </w:pPr>
    <w:rPr>
      <w:b/>
      <w:bCs/>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customStyle="1" w:styleId="2">
    <w:name w:val="BodyText"/>
    <w:basedOn w:val="1"/>
    <w:autoRedefine/>
    <w:qFormat/>
    <w:uiPriority w:val="0"/>
    <w:pPr>
      <w:spacing w:after="120"/>
      <w:jc w:val="both"/>
      <w:textAlignment w:val="baseline"/>
    </w:pPr>
    <w:rPr>
      <w:rFonts w:ascii="Times New Roman"/>
      <w:kern w:val="2"/>
      <w:sz w:val="21"/>
      <w:szCs w:val="24"/>
      <w:lang w:val="en-US" w:eastAsia="zh-CN" w:bidi="ar-SA"/>
    </w:rPr>
  </w:style>
  <w:style w:type="paragraph" w:styleId="4">
    <w:name w:val="Normal Indent"/>
    <w:basedOn w:val="1"/>
    <w:autoRedefine/>
    <w:qFormat/>
    <w:uiPriority w:val="0"/>
    <w:pPr>
      <w:ind w:firstLine="420" w:firstLineChars="200"/>
    </w:pPr>
  </w:style>
  <w:style w:type="paragraph" w:styleId="6">
    <w:name w:val="Body Text"/>
    <w:basedOn w:val="1"/>
    <w:next w:val="1"/>
    <w:autoRedefine/>
    <w:qFormat/>
    <w:uiPriority w:val="99"/>
    <w:pPr>
      <w:spacing w:after="120"/>
    </w:pPr>
    <w:rPr>
      <w:rFonts w:ascii="Times New Roman"/>
      <w:szCs w:val="24"/>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1627</Words>
  <Characters>1714</Characters>
  <Lines>1</Lines>
  <Paragraphs>1</Paragraphs>
  <TotalTime>5</TotalTime>
  <ScaleCrop>false</ScaleCrop>
  <LinksUpToDate>false</LinksUpToDate>
  <CharactersWithSpaces>1718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2022-06-16T02:53:00Z</dcterms:created>
  <dc:creator>Claire</dc:creator>
  <cp:lastModifiedBy>张湄</cp:lastModifiedBy>
  <cp:lastPrinted>2023-08-16T07:04:00Z</cp:lastPrinted>
  <dcterms:modified xsi:type="dcterms:W3CDTF">2025-03-19T04:06:49Z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163E21074E464D008DF7F82A5B778A26_13</vt:lpwstr>
  </property>
  <property fmtid="{D5CDD505-2E9C-101B-9397-08002B2CF9AE}" pid="4" name="KSOTemplateDocerSaveRecord">
    <vt:lpwstr>eyJoZGlkIjoiY2VkNjAwNzgxNzUxOWE3NzNkNzhlMDg5ZGM5NWI3N2UiLCJ1c2VySWQiOiI1NzkwNTAzMDcifQ==</vt:lpwstr>
  </property>
</Properties>
</file>